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B30" w:rsidRPr="00196B30" w:rsidRDefault="00196B30" w:rsidP="00196B30">
      <w:pPr>
        <w:ind w:firstLine="0"/>
        <w:jc w:val="center"/>
        <w:rPr>
          <w:rFonts w:eastAsia="Times New Roman"/>
          <w:sz w:val="24"/>
          <w:szCs w:val="24"/>
          <w:lang w:val="kk-KZ" w:eastAsia="ru-RU"/>
        </w:rPr>
      </w:pPr>
      <w:r w:rsidRPr="00196B30">
        <w:rPr>
          <w:rFonts w:eastAsia="Times New Roman"/>
          <w:sz w:val="24"/>
          <w:szCs w:val="24"/>
          <w:lang w:val="kk-KZ" w:eastAsia="ru-RU"/>
        </w:rPr>
        <w:t xml:space="preserve">6 ОРГАНИЗАЦИЯ РАБОТ С ИСТОЧНИКАМИ </w:t>
      </w:r>
    </w:p>
    <w:p w:rsidR="00196B30" w:rsidRPr="00196B30" w:rsidRDefault="00196B30" w:rsidP="00196B30">
      <w:pPr>
        <w:ind w:firstLine="0"/>
        <w:jc w:val="center"/>
        <w:rPr>
          <w:rFonts w:eastAsia="Times New Roman"/>
          <w:sz w:val="24"/>
          <w:szCs w:val="24"/>
          <w:lang w:val="kk-KZ" w:eastAsia="ru-RU"/>
        </w:rPr>
      </w:pPr>
      <w:r w:rsidRPr="00196B30">
        <w:rPr>
          <w:rFonts w:eastAsia="Times New Roman"/>
          <w:sz w:val="24"/>
          <w:szCs w:val="24"/>
          <w:lang w:val="kk-KZ" w:eastAsia="ru-RU"/>
        </w:rPr>
        <w:t>ИОНИЗИРУЮЩИХ ИЗЛУЧЕНИЙ</w:t>
      </w:r>
    </w:p>
    <w:p w:rsidR="00196B30" w:rsidRPr="00196B30" w:rsidRDefault="00196B30" w:rsidP="00196B30">
      <w:pPr>
        <w:ind w:firstLine="0"/>
        <w:jc w:val="center"/>
        <w:rPr>
          <w:rFonts w:eastAsia="Times New Roman"/>
          <w:sz w:val="24"/>
          <w:szCs w:val="24"/>
          <w:lang w:val="kk-KZ" w:eastAsia="ru-RU"/>
        </w:rPr>
      </w:pP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bookmarkStart w:id="0" w:name="z7"/>
      <w:bookmarkStart w:id="1" w:name="z29"/>
      <w:r w:rsidRPr="00196B30">
        <w:rPr>
          <w:rFonts w:eastAsia="Times New Roman"/>
          <w:sz w:val="24"/>
          <w:szCs w:val="24"/>
          <w:lang w:val="kk-KZ" w:eastAsia="ru-RU"/>
        </w:rPr>
        <w:t xml:space="preserve">Организация работ ведется в соответствии с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Правилами обеспечения промышленной безопасности при обращении с источниками ионизирующего излучения,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bookmarkStart w:id="2" w:name="z6"/>
      <w:r w:rsidRPr="00196B30">
        <w:rPr>
          <w:rFonts w:eastAsia="Times New Roman"/>
          <w:color w:val="000000"/>
          <w:sz w:val="24"/>
          <w:szCs w:val="24"/>
          <w:lang w:eastAsia="ru-RU"/>
        </w:rPr>
        <w:t>утвержденными  приказом и.о. министра по  инвестициям и развитию Республики Казахстан от 26 декабря 2014 года № 301.</w:t>
      </w:r>
    </w:p>
    <w:bookmarkEnd w:id="0"/>
    <w:bookmarkEnd w:id="2"/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 xml:space="preserve">Персонал, непосредственно работающий с источниками ионизирующих излучений, согласно нормам радиационной безопасности </w:t>
      </w:r>
      <w:proofErr w:type="gramStart"/>
      <w:r w:rsidRPr="00196B30">
        <w:rPr>
          <w:rFonts w:eastAsia="Times New Roman"/>
          <w:sz w:val="24"/>
          <w:szCs w:val="24"/>
          <w:lang w:eastAsia="ru-RU"/>
        </w:rPr>
        <w:t xml:space="preserve">относится к категории А. 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>Эффективная доза для персонала не должна</w:t>
      </w:r>
      <w:proofErr w:type="gramEnd"/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превышать за период трудовой деятельности (50 лет) – 1000 </w:t>
      </w:r>
      <w:proofErr w:type="spellStart"/>
      <w:r w:rsidRPr="00196B30">
        <w:rPr>
          <w:rFonts w:eastAsia="Times New Roman"/>
          <w:color w:val="000000"/>
          <w:sz w:val="24"/>
          <w:szCs w:val="24"/>
          <w:lang w:eastAsia="ru-RU"/>
        </w:rPr>
        <w:t>мЗв</w:t>
      </w:r>
      <w:proofErr w:type="spellEnd"/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. 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Индивидуальный контроль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облучения персонала, в зависимости от характера работ включает: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1) радиометрический контроль загрязненности кожных покровов и средств индивидуальной защиты;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2) </w:t>
      </w:r>
      <w:proofErr w:type="gramStart"/>
      <w:r w:rsidRPr="00196B30">
        <w:rPr>
          <w:rFonts w:eastAsia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характером, динамикой и уровнями поступления радиоактивных веществ в организм, с использованием методов прямой и/или косвенной радиометрии;</w:t>
      </w:r>
    </w:p>
    <w:p w:rsidR="00196B30" w:rsidRPr="00196B30" w:rsidRDefault="00196B30" w:rsidP="00196B30">
      <w:pPr>
        <w:rPr>
          <w:rFonts w:eastAsia="Times New Roman"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3) контроль за дозами внешнего бета-, гамм</w:t>
      </w:r>
      <w:proofErr w:type="gramStart"/>
      <w:r w:rsidRPr="00196B30">
        <w:rPr>
          <w:rFonts w:eastAsia="Times New Roman"/>
          <w:color w:val="000000"/>
          <w:sz w:val="24"/>
          <w:szCs w:val="24"/>
          <w:lang w:eastAsia="ru-RU"/>
        </w:rPr>
        <w:t>а-</w:t>
      </w:r>
      <w:proofErr w:type="gramEnd"/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и рентгеновского излучений, нейтронов с использованием индивидуальных дозиметров, или расчетным путем. 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>По результатам радиационного контроля рассчитываются значения эффективных доз у персонала, а при необходимости, определяются значения эквивалентных доз облучения отдельных органов.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Персонал, работающий с источниками ионизирующего излучения, должен быть обеспечен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средствами индивидуальной защиты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>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В зависимости от объема и характера работ, производственный </w:t>
      </w:r>
      <w:proofErr w:type="gramStart"/>
      <w:r w:rsidRPr="00196B30">
        <w:rPr>
          <w:rFonts w:eastAsia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радиационной безопасностью должен осуществляться службой или лицом, ответственным за радиационную безопасность, прошедшим специальную подготовку.</w:t>
      </w:r>
    </w:p>
    <w:bookmarkEnd w:id="1"/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Контроль радиационной обстановки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в зависимости от характера проводимых работ включает: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1) измерение мощности дозы рентгеновского, гамма и нейтронного излучений, плотности потоков частиц ионизирующего излучения на рабочих местах, в смежных помещениях, на территории организации, в санитарно-защитной зоне;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2) измерение уровней загрязнения радиоактивными веществами рабочих поверхностей, оборудования, транспортных средств, средств индивидуальной защиты, кожных покровов и одежды персонала;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3) определение объемной активности газов и аэрозолей в воздухе рабочих помещений;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4) измерение, или оценку активности выбросов и сбросов радиоактивных веществ;</w:t>
      </w:r>
    </w:p>
    <w:p w:rsidR="00196B30" w:rsidRPr="00196B30" w:rsidRDefault="00196B30" w:rsidP="00196B30">
      <w:pPr>
        <w:rPr>
          <w:rFonts w:eastAsia="Times New Roman"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5) определение уровней радиоактивного загрязнения объектов окружающей среды в санитарно-защитной зоне.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</w:p>
    <w:p w:rsidR="00196B30" w:rsidRPr="00196B30" w:rsidRDefault="00196B30" w:rsidP="00196B30">
      <w:pPr>
        <w:jc w:val="center"/>
        <w:rPr>
          <w:rFonts w:eastAsia="Times New Roman"/>
          <w:b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 xml:space="preserve">6.1 Требования к работе с </w:t>
      </w:r>
      <w:proofErr w:type="gramStart"/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открытыми</w:t>
      </w:r>
      <w:proofErr w:type="gramEnd"/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 xml:space="preserve"> </w:t>
      </w:r>
    </w:p>
    <w:p w:rsidR="00196B30" w:rsidRPr="00196B30" w:rsidRDefault="00196B30" w:rsidP="00196B30">
      <w:pPr>
        <w:jc w:val="center"/>
        <w:rPr>
          <w:rFonts w:eastAsia="Times New Roman"/>
          <w:b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источниками ионизирующего излучения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  <w:bookmarkStart w:id="3" w:name="z88"/>
      <w:r w:rsidRPr="00196B30">
        <w:rPr>
          <w:rFonts w:eastAsia="Times New Roman"/>
          <w:sz w:val="24"/>
          <w:szCs w:val="24"/>
          <w:lang w:eastAsia="ru-RU"/>
        </w:rPr>
        <w:t>Комплекс защитных мер при работе с открытыми источниками должен обеспечивать защиту людей не только от внешнего, но и от внутреннего облучения, предотвращать радиоактивное загрязнение воздуха и поверхностей рабочих помещений, кожных покровов и одежды персонала.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>К числу основных профилактических мероприятий при работе с открытыми источниками относятся: правильный выбор планировки помещений, оборудования, отделки помещений, технологических режимов, организации рабочих мест и соблюдения мер личной гигиены работающих, рациональные режимы вентиляции, организация защиты от внешнего и внутреннего облучения, сбора и удаления радиоактивных отходов.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lastRenderedPageBreak/>
        <w:t>Работы с открытыми источниками ионизирующего излучения подразделяются на три класса (таблица 11).</w:t>
      </w:r>
      <w:r w:rsidRPr="00196B30">
        <w:rPr>
          <w:rFonts w:ascii="Century Schoolbook" w:eastAsia="Times New Roman" w:hAnsi="Century Schoolbook" w:cs="Century Schoolbook"/>
          <w:sz w:val="17"/>
          <w:szCs w:val="17"/>
          <w:lang w:eastAsia="ru-RU"/>
        </w:rPr>
        <w:t xml:space="preserve"> </w:t>
      </w:r>
      <w:r w:rsidRPr="00196B30">
        <w:rPr>
          <w:rFonts w:eastAsia="Times New Roman"/>
          <w:sz w:val="24"/>
          <w:szCs w:val="24"/>
          <w:lang w:eastAsia="ru-RU"/>
        </w:rPr>
        <w:t>Класс работ устанавливается в зависимости от группы радиационной опасности радионуклида (подраздел 3.4.1) и фактической его активности на рабочем месте.</w:t>
      </w:r>
    </w:p>
    <w:p w:rsidR="00196B30" w:rsidRPr="00196B30" w:rsidRDefault="00196B30" w:rsidP="00196B30">
      <w:pPr>
        <w:rPr>
          <w:rFonts w:eastAsia="Times New Roman"/>
          <w:color w:val="000000"/>
          <w:sz w:val="24"/>
          <w:szCs w:val="24"/>
          <w:lang w:eastAsia="ru-RU"/>
        </w:rPr>
      </w:pPr>
    </w:p>
    <w:p w:rsidR="00196B30" w:rsidRPr="00196B30" w:rsidRDefault="00196B30" w:rsidP="00196B30">
      <w:pPr>
        <w:ind w:firstLine="0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>Таблица 11 - Класс работ с открытыми источниками излучения</w:t>
      </w:r>
    </w:p>
    <w:tbl>
      <w:tblPr>
        <w:tblStyle w:val="a5"/>
        <w:tblW w:w="0" w:type="auto"/>
        <w:jc w:val="center"/>
        <w:tblInd w:w="108" w:type="dxa"/>
        <w:tblLook w:val="04A0"/>
      </w:tblPr>
      <w:tblGrid>
        <w:gridCol w:w="3900"/>
        <w:gridCol w:w="5456"/>
      </w:tblGrid>
      <w:tr w:rsidR="00196B30" w:rsidRPr="00196B30" w:rsidTr="00121EA9">
        <w:trPr>
          <w:trHeight w:val="30"/>
          <w:jc w:val="center"/>
        </w:trPr>
        <w:tc>
          <w:tcPr>
            <w:tcW w:w="3900" w:type="dxa"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color w:val="000000"/>
                <w:sz w:val="24"/>
                <w:szCs w:val="24"/>
              </w:rPr>
              <w:t>Класс работ</w:t>
            </w:r>
          </w:p>
        </w:tc>
        <w:tc>
          <w:tcPr>
            <w:tcW w:w="5456" w:type="dxa"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color w:val="000000"/>
                <w:sz w:val="24"/>
                <w:szCs w:val="24"/>
              </w:rPr>
              <w:t>Суммарная активность на рабочем месте, приведенная к группе</w:t>
            </w:r>
            <w:proofErr w:type="gramStart"/>
            <w:r w:rsidRPr="00196B30">
              <w:rPr>
                <w:color w:val="000000"/>
                <w:sz w:val="24"/>
                <w:szCs w:val="24"/>
              </w:rPr>
              <w:t xml:space="preserve"> А</w:t>
            </w:r>
            <w:proofErr w:type="gramEnd"/>
            <w:r w:rsidRPr="00196B30">
              <w:rPr>
                <w:color w:val="000000"/>
                <w:sz w:val="24"/>
                <w:szCs w:val="24"/>
              </w:rPr>
              <w:t>, Бк</w:t>
            </w:r>
          </w:p>
        </w:tc>
      </w:tr>
      <w:tr w:rsidR="00196B30" w:rsidRPr="00196B30" w:rsidTr="00121EA9">
        <w:trPr>
          <w:trHeight w:val="30"/>
          <w:jc w:val="center"/>
        </w:trPr>
        <w:tc>
          <w:tcPr>
            <w:tcW w:w="3900" w:type="dxa"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color w:val="000000"/>
                <w:sz w:val="24"/>
                <w:szCs w:val="24"/>
              </w:rPr>
              <w:t>I класс</w:t>
            </w:r>
          </w:p>
        </w:tc>
        <w:tc>
          <w:tcPr>
            <w:tcW w:w="5456" w:type="dxa"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color w:val="000000"/>
                <w:sz w:val="24"/>
                <w:szCs w:val="24"/>
              </w:rPr>
              <w:t>более 10</w:t>
            </w:r>
            <w:r w:rsidRPr="00196B30">
              <w:rPr>
                <w:color w:val="000000"/>
                <w:sz w:val="24"/>
                <w:szCs w:val="24"/>
                <w:vertAlign w:val="superscript"/>
              </w:rPr>
              <w:t>8</w:t>
            </w:r>
          </w:p>
        </w:tc>
      </w:tr>
      <w:tr w:rsidR="00196B30" w:rsidRPr="00196B30" w:rsidTr="00121EA9">
        <w:trPr>
          <w:trHeight w:val="30"/>
          <w:jc w:val="center"/>
        </w:trPr>
        <w:tc>
          <w:tcPr>
            <w:tcW w:w="3900" w:type="dxa"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color w:val="000000"/>
                <w:sz w:val="24"/>
                <w:szCs w:val="24"/>
              </w:rPr>
              <w:t>II класс</w:t>
            </w:r>
          </w:p>
        </w:tc>
        <w:tc>
          <w:tcPr>
            <w:tcW w:w="5456" w:type="dxa"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color w:val="000000"/>
                <w:sz w:val="24"/>
                <w:szCs w:val="24"/>
              </w:rPr>
              <w:t>от 10</w:t>
            </w:r>
            <w:r w:rsidRPr="00196B30">
              <w:rPr>
                <w:color w:val="000000"/>
                <w:sz w:val="24"/>
                <w:szCs w:val="24"/>
                <w:vertAlign w:val="superscript"/>
              </w:rPr>
              <w:t>5</w:t>
            </w:r>
            <w:r w:rsidRPr="00196B30">
              <w:rPr>
                <w:color w:val="000000"/>
                <w:sz w:val="24"/>
                <w:szCs w:val="24"/>
              </w:rPr>
              <w:t xml:space="preserve"> до 10</w:t>
            </w:r>
            <w:r w:rsidRPr="00196B30">
              <w:rPr>
                <w:color w:val="000000"/>
                <w:sz w:val="24"/>
                <w:szCs w:val="24"/>
                <w:vertAlign w:val="superscript"/>
              </w:rPr>
              <w:t>8</w:t>
            </w:r>
          </w:p>
        </w:tc>
      </w:tr>
      <w:tr w:rsidR="00196B30" w:rsidRPr="00196B30" w:rsidTr="00121EA9">
        <w:trPr>
          <w:trHeight w:val="30"/>
          <w:jc w:val="center"/>
        </w:trPr>
        <w:tc>
          <w:tcPr>
            <w:tcW w:w="3900" w:type="dxa"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color w:val="000000"/>
                <w:sz w:val="24"/>
                <w:szCs w:val="24"/>
              </w:rPr>
              <w:t>III класс</w:t>
            </w:r>
          </w:p>
        </w:tc>
        <w:tc>
          <w:tcPr>
            <w:tcW w:w="5456" w:type="dxa"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color w:val="000000"/>
                <w:sz w:val="24"/>
                <w:szCs w:val="24"/>
              </w:rPr>
              <w:t>от 10</w:t>
            </w:r>
            <w:r w:rsidRPr="00196B30">
              <w:rPr>
                <w:color w:val="000000"/>
                <w:sz w:val="24"/>
                <w:szCs w:val="24"/>
                <w:vertAlign w:val="superscript"/>
              </w:rPr>
              <w:t>3</w:t>
            </w:r>
            <w:r w:rsidRPr="00196B30">
              <w:rPr>
                <w:color w:val="000000"/>
                <w:sz w:val="24"/>
                <w:szCs w:val="24"/>
              </w:rPr>
              <w:t xml:space="preserve"> до 10</w:t>
            </w:r>
            <w:r w:rsidRPr="00196B30">
              <w:rPr>
                <w:color w:val="000000"/>
                <w:sz w:val="24"/>
                <w:szCs w:val="24"/>
                <w:vertAlign w:val="superscript"/>
              </w:rPr>
              <w:t>5</w:t>
            </w:r>
          </w:p>
        </w:tc>
      </w:tr>
    </w:tbl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Работы I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класса проводят в отдельном здании или изолированной части здания с отдельным входом через санитарный пропускник. Рабочие помещения оборудуют боксами, камерами, каньонами или другим герметичным оборудованием. Помещения разделяются на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три зоны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>:</w:t>
      </w:r>
    </w:p>
    <w:p w:rsidR="00196B30" w:rsidRPr="00196B30" w:rsidRDefault="00196B30" w:rsidP="00196B30">
      <w:pPr>
        <w:tabs>
          <w:tab w:val="left" w:pos="993"/>
        </w:tabs>
        <w:contextualSpacing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первая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– необслуживаемые помещения, где размещают технологическое оборудование и коммуникации, являющиеся основными источниками излучения и радиоактивного загрязнения. Пребывание персонала в необслуживаемых помещениях при работающем технологическом оборудовании не допускается;</w:t>
      </w:r>
    </w:p>
    <w:p w:rsidR="00196B30" w:rsidRPr="00196B30" w:rsidRDefault="00196B30" w:rsidP="00196B30">
      <w:pPr>
        <w:tabs>
          <w:tab w:val="left" w:pos="993"/>
        </w:tabs>
        <w:contextualSpacing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вторая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– периодически обслуживаемые помещения, предназначенные для ремонта оборудования и других работ, связанны</w:t>
      </w:r>
      <w:proofErr w:type="gramStart"/>
      <w:r w:rsidRPr="00196B30">
        <w:rPr>
          <w:rFonts w:eastAsia="Times New Roman"/>
          <w:color w:val="000000"/>
          <w:sz w:val="24"/>
          <w:szCs w:val="24"/>
          <w:lang w:eastAsia="ru-RU"/>
        </w:rPr>
        <w:t>х с вскр</w:t>
      </w:r>
      <w:proofErr w:type="gramEnd"/>
      <w:r w:rsidRPr="00196B30">
        <w:rPr>
          <w:rFonts w:eastAsia="Times New Roman"/>
          <w:color w:val="000000"/>
          <w:sz w:val="24"/>
          <w:szCs w:val="24"/>
          <w:lang w:eastAsia="ru-RU"/>
        </w:rPr>
        <w:t>ытием технологического оборудования, размещением узлов загрузки и выгрузки радиоактивных материалов, временного хранения сырья, готовой продукции и радиоактивных отходов;</w:t>
      </w:r>
    </w:p>
    <w:p w:rsidR="00196B30" w:rsidRPr="00196B30" w:rsidRDefault="00196B30" w:rsidP="00196B30">
      <w:pPr>
        <w:tabs>
          <w:tab w:val="left" w:pos="993"/>
        </w:tabs>
        <w:contextualSpacing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третья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– помещения постоянного пребывания персонала в течение всей смены (операторские, пульты управления);</w:t>
      </w:r>
    </w:p>
    <w:p w:rsidR="00196B30" w:rsidRPr="00196B30" w:rsidRDefault="00196B30" w:rsidP="00196B30">
      <w:pPr>
        <w:tabs>
          <w:tab w:val="left" w:pos="993"/>
        </w:tabs>
        <w:contextualSpacing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>Для исключения распространения радиоактивного загрязнения между зонами оборудуются санитарные шлюзы.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Работы II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класса проводятся в помещениях, скомпонованных в отдельной части здания изолированно от других помещений. При проведении в одной организации работ II и III классов, связанных единой технологией, допускается выделить общий блок помещений, оборудованных в соответствии с требованиями, предъявляемыми к работам II класса. 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Работы III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класса должны проводиться в отдельных помещениях, соответствующих требованиям, предъявляемым к химическим лабораториям. В составе этих помещений предусматривается устройство приточно-вытяжной вентиляции и душевой. Работы, связанные с возможностью радиоактивного загрязнения воздуха, должны проводиться в вытяжных шкафах.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Для снижения уровней внешнего облучения персонала от открытых источников излучения используются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системы автоматизации и дистанционного управления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>, экранирование источников излучения и сокращение времени рабочих операций.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При работах с источниками ионизирующего излучения должен предусматриваться комплекс мероприятий по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дезактивации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производственных помещений и оборудования. Периодичность проведения дезактивации устанавливается в зависимости от конкретного вида производства.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В помещениях, где ведутся работы с радиоактивными веществами в открытом виде,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не допускается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>:</w:t>
      </w:r>
    </w:p>
    <w:p w:rsidR="00196B30" w:rsidRPr="00196B30" w:rsidRDefault="00196B30" w:rsidP="00196B30">
      <w:pPr>
        <w:numPr>
          <w:ilvl w:val="0"/>
          <w:numId w:val="35"/>
        </w:numPr>
        <w:tabs>
          <w:tab w:val="left" w:pos="993"/>
        </w:tabs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>пребывание должностных лиц и персонала без необходимых средств индивидуальной защиты;</w:t>
      </w:r>
    </w:p>
    <w:p w:rsidR="00196B30" w:rsidRPr="00196B30" w:rsidRDefault="00196B30" w:rsidP="00196B30">
      <w:pPr>
        <w:numPr>
          <w:ilvl w:val="0"/>
          <w:numId w:val="35"/>
        </w:numPr>
        <w:tabs>
          <w:tab w:val="left" w:pos="993"/>
        </w:tabs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>прием пищи, курение, пользование косметическими принадлежностями;</w:t>
      </w:r>
    </w:p>
    <w:p w:rsidR="00196B30" w:rsidRPr="00196B30" w:rsidRDefault="00196B30" w:rsidP="00196B30">
      <w:pPr>
        <w:numPr>
          <w:ilvl w:val="0"/>
          <w:numId w:val="35"/>
        </w:numPr>
        <w:tabs>
          <w:tab w:val="left" w:pos="993"/>
        </w:tabs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>хранение пищевых продуктов, личных вещей, не имеющих отношения к работе.</w:t>
      </w:r>
    </w:p>
    <w:p w:rsidR="00196B30" w:rsidRPr="00196B30" w:rsidRDefault="00196B30" w:rsidP="00196B30">
      <w:pPr>
        <w:jc w:val="center"/>
        <w:rPr>
          <w:rFonts w:eastAsia="Times New Roman"/>
          <w:b/>
          <w:color w:val="000000"/>
          <w:sz w:val="24"/>
          <w:szCs w:val="24"/>
          <w:lang w:eastAsia="ru-RU"/>
        </w:rPr>
      </w:pPr>
      <w:bookmarkStart w:id="4" w:name="z106"/>
      <w:bookmarkEnd w:id="3"/>
    </w:p>
    <w:p w:rsidR="00196B30" w:rsidRPr="00196B30" w:rsidRDefault="00196B30" w:rsidP="00196B30">
      <w:pPr>
        <w:jc w:val="center"/>
        <w:rPr>
          <w:rFonts w:eastAsia="Times New Roman"/>
          <w:b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lastRenderedPageBreak/>
        <w:t xml:space="preserve">6.3 Требования к работе с </w:t>
      </w:r>
      <w:proofErr w:type="gramStart"/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закрытыми</w:t>
      </w:r>
      <w:proofErr w:type="gramEnd"/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 xml:space="preserve"> </w:t>
      </w:r>
    </w:p>
    <w:p w:rsidR="00196B30" w:rsidRPr="00196B30" w:rsidRDefault="00196B30" w:rsidP="00196B30">
      <w:pPr>
        <w:jc w:val="center"/>
        <w:rPr>
          <w:rFonts w:eastAsia="Times New Roman"/>
          <w:b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источниками ионизирующего излучения</w:t>
      </w:r>
    </w:p>
    <w:p w:rsidR="00196B30" w:rsidRPr="00196B30" w:rsidRDefault="00196B30" w:rsidP="00196B30">
      <w:pPr>
        <w:jc w:val="center"/>
        <w:rPr>
          <w:rFonts w:eastAsia="Times New Roman"/>
          <w:sz w:val="24"/>
          <w:szCs w:val="24"/>
          <w:lang w:eastAsia="ru-RU"/>
        </w:rPr>
      </w:pP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  <w:lang w:eastAsia="ru-RU"/>
        </w:rPr>
      </w:pPr>
      <w:bookmarkStart w:id="5" w:name="z107"/>
      <w:bookmarkEnd w:id="4"/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r w:rsidRPr="00196B30">
        <w:rPr>
          <w:rFonts w:eastAsia="Times New Roman"/>
          <w:sz w:val="24"/>
          <w:szCs w:val="24"/>
          <w:lang w:eastAsia="ru-RU"/>
        </w:rPr>
        <w:t xml:space="preserve">Источники ионизирующего излучения, конструкция которых исключает попадание радиоактивных веществ в окружающую среду, называют </w:t>
      </w:r>
      <w:r w:rsidRPr="00196B30">
        <w:rPr>
          <w:rFonts w:eastAsia="Times New Roman"/>
          <w:b/>
          <w:sz w:val="24"/>
          <w:szCs w:val="24"/>
          <w:lang w:eastAsia="ru-RU"/>
        </w:rPr>
        <w:t>закрытыми</w:t>
      </w:r>
      <w:r w:rsidRPr="00196B30">
        <w:rPr>
          <w:rFonts w:eastAsia="Times New Roman"/>
          <w:sz w:val="24"/>
          <w:szCs w:val="24"/>
          <w:lang w:eastAsia="ru-RU"/>
        </w:rPr>
        <w:t>. Следовательно, в этом случае персонал может подвергаться только внешнему облучению.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>Основным требованием к обеспечению радиационной безопасности при работе с закрытыми источниками является сооружение защит от излучения для снижения внешних потоков излучения на рабочих местах и в соседних помещениях до допустимых уровней.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Герметичность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закрытых источников излучения должна проверяться в порядке и в сроки, установленные руководством изготовителя по их эксплуатации.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>Помещения, где проводятся работы на стационарных установках с закрытыми источниками излучения, оборудуются системами блокировки и сигнализации о положении источника (блока источников).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 xml:space="preserve">Рабочая часть стационарных аппаратов и установок должна размещаться в отдельном помещении. Материал и толщина стен, пола и потолка этого помещения при любых реальных положениях источника и направлениях пучка должны обеспечивать </w:t>
      </w:r>
      <w:r w:rsidRPr="00196B30">
        <w:rPr>
          <w:rFonts w:eastAsia="Times New Roman"/>
          <w:b/>
          <w:sz w:val="24"/>
          <w:szCs w:val="24"/>
          <w:lang w:eastAsia="ru-RU"/>
        </w:rPr>
        <w:t>ослабление излучения</w:t>
      </w:r>
      <w:r w:rsidRPr="00196B30">
        <w:rPr>
          <w:rFonts w:eastAsia="Times New Roman"/>
          <w:sz w:val="24"/>
          <w:szCs w:val="24"/>
          <w:lang w:eastAsia="ru-RU"/>
        </w:rPr>
        <w:t xml:space="preserve"> в смежных помещениях и на территории учреждения до допустимых значений. Пульт управления аппаратом или установкой размещают в смежном помещении. Входная дверь в помещение, где находится аппарат, должна блокироваться с механизмом перемещения источника или с включением высокого (ускоряющего) напряжения так, чтобы исключить возможность случайного облучения персонала. Эти помещения должны быть оборудованы системой сигнализации о положении облучателя или включения энергопитания и превышении заданной мощности дозы.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sz w:val="24"/>
          <w:szCs w:val="24"/>
          <w:lang w:eastAsia="ru-RU"/>
        </w:rPr>
        <w:t>В нерабочем положении</w:t>
      </w:r>
      <w:r w:rsidRPr="00196B30">
        <w:rPr>
          <w:rFonts w:eastAsia="Times New Roman"/>
          <w:sz w:val="24"/>
          <w:szCs w:val="24"/>
          <w:lang w:eastAsia="ru-RU"/>
        </w:rPr>
        <w:t xml:space="preserve"> все источники ионизирующих излучений должны находиться в защитных устройствах, а </w:t>
      </w:r>
      <w:proofErr w:type="spellStart"/>
      <w:r w:rsidRPr="00196B30">
        <w:rPr>
          <w:rFonts w:eastAsia="Times New Roman"/>
          <w:sz w:val="24"/>
          <w:szCs w:val="24"/>
          <w:lang w:eastAsia="ru-RU"/>
        </w:rPr>
        <w:t>нерадионуклидные</w:t>
      </w:r>
      <w:proofErr w:type="spellEnd"/>
      <w:r w:rsidRPr="00196B30">
        <w:rPr>
          <w:rFonts w:eastAsia="Times New Roman"/>
          <w:sz w:val="24"/>
          <w:szCs w:val="24"/>
          <w:lang w:eastAsia="ru-RU"/>
        </w:rPr>
        <w:t xml:space="preserve"> источники обесточены.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 xml:space="preserve">Для перемещения источника в рабочее положение или включения энергопитания предусматривается система </w:t>
      </w:r>
      <w:r w:rsidRPr="00196B30">
        <w:rPr>
          <w:rFonts w:eastAsia="Times New Roman"/>
          <w:b/>
          <w:sz w:val="24"/>
          <w:szCs w:val="24"/>
          <w:lang w:eastAsia="ru-RU"/>
        </w:rPr>
        <w:t>дистанционного управления</w:t>
      </w:r>
      <w:r w:rsidRPr="00196B30">
        <w:rPr>
          <w:rFonts w:eastAsia="Times New Roman"/>
          <w:sz w:val="24"/>
          <w:szCs w:val="24"/>
          <w:lang w:eastAsia="ru-RU"/>
        </w:rPr>
        <w:t>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В случаях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разгерметизации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закрытого источника ионизирующего излучения, основные защитные мероприятия направляются на предупреждение загрязнения производственной среды, оборудования, спецодежды, тела и рук персонала. Источник изымается из эксплуатации и отправляется на захоронение.</w:t>
      </w:r>
    </w:p>
    <w:bookmarkEnd w:id="5"/>
    <w:p w:rsidR="00196B30" w:rsidRPr="00196B30" w:rsidRDefault="00196B30" w:rsidP="00196B30">
      <w:pPr>
        <w:jc w:val="center"/>
        <w:rPr>
          <w:rFonts w:eastAsia="Times New Roman"/>
          <w:sz w:val="24"/>
          <w:szCs w:val="24"/>
          <w:lang w:eastAsia="ru-RU"/>
        </w:rPr>
      </w:pPr>
    </w:p>
    <w:p w:rsidR="00196B30" w:rsidRPr="00196B30" w:rsidRDefault="00196B30" w:rsidP="00196B30">
      <w:pPr>
        <w:jc w:val="center"/>
        <w:rPr>
          <w:rFonts w:eastAsia="Times New Roman"/>
          <w:b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 xml:space="preserve">6.4 Требования при транспортировании </w:t>
      </w:r>
    </w:p>
    <w:p w:rsidR="00196B30" w:rsidRPr="00196B30" w:rsidRDefault="00196B30" w:rsidP="00196B30">
      <w:pPr>
        <w:jc w:val="center"/>
        <w:rPr>
          <w:rFonts w:eastAsia="Times New Roman"/>
          <w:b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источников ионизирующего излучения</w:t>
      </w:r>
    </w:p>
    <w:p w:rsidR="00196B30" w:rsidRPr="00196B30" w:rsidRDefault="00196B30" w:rsidP="00196B30">
      <w:pPr>
        <w:jc w:val="center"/>
        <w:rPr>
          <w:rFonts w:eastAsia="Times New Roman"/>
          <w:sz w:val="24"/>
          <w:szCs w:val="24"/>
          <w:lang w:eastAsia="ru-RU"/>
        </w:rPr>
      </w:pPr>
    </w:p>
    <w:p w:rsidR="00196B30" w:rsidRPr="00196B30" w:rsidRDefault="00196B30" w:rsidP="00196B30">
      <w:pPr>
        <w:keepNext/>
        <w:outlineLvl w:val="0"/>
        <w:rPr>
          <w:rFonts w:eastAsia="Times New Roman"/>
          <w:sz w:val="24"/>
          <w:szCs w:val="24"/>
          <w:lang w:eastAsia="zh-CN"/>
        </w:rPr>
      </w:pPr>
      <w:bookmarkStart w:id="6" w:name="z141"/>
      <w:r w:rsidRPr="00196B30">
        <w:rPr>
          <w:rFonts w:eastAsia="Times New Roman"/>
          <w:color w:val="000000"/>
          <w:sz w:val="24"/>
          <w:szCs w:val="24"/>
          <w:lang w:eastAsia="zh-CN"/>
        </w:rPr>
        <w:t xml:space="preserve">Перевозка источников ионизирующего излучения производится в соответствии с </w:t>
      </w:r>
      <w:r w:rsidRPr="00196B30">
        <w:rPr>
          <w:rFonts w:eastAsia="Times New Roman"/>
          <w:b/>
          <w:sz w:val="24"/>
          <w:szCs w:val="24"/>
          <w:lang w:eastAsia="zh-CN"/>
        </w:rPr>
        <w:t>Правилами транспортировки радиоактивных веществ и радиоактивных отходов</w:t>
      </w:r>
      <w:r w:rsidRPr="00196B30">
        <w:rPr>
          <w:rFonts w:eastAsia="Times New Roman"/>
          <w:sz w:val="24"/>
          <w:szCs w:val="24"/>
          <w:lang w:eastAsia="zh-CN"/>
        </w:rPr>
        <w:t>, утвержденных приказом министра энергетики Республики Казахстан от 22 февраля 2016 года № 75.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Для перевозки источников ионизирующего излучения разрабатывается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программа радиационной защиты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. Способы и меры защиты персонала и населения, предусматриваемые в программе, зависят от величины и вероятности облучения. При осуществлении перевозки, защита и безопасность оптимизируются таким образом, чтобы величина индивидуальных доз, число лиц, подвергающихся облучению, и вероятность облучения удерживались на разумно достижимом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низком уровне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, а дозы индивидуального облучения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не превышали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 xml:space="preserve"> соответствующих 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пределов доз</w:t>
      </w:r>
      <w:r w:rsidRPr="00196B30">
        <w:rPr>
          <w:rFonts w:eastAsia="Times New Roman"/>
          <w:color w:val="000000"/>
          <w:sz w:val="24"/>
          <w:szCs w:val="24"/>
          <w:lang w:eastAsia="ru-RU"/>
        </w:rPr>
        <w:t>.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b/>
          <w:color w:val="000000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 xml:space="preserve">Транспортирование радиоактивных грузов производится в </w:t>
      </w:r>
      <w:r w:rsidRPr="00196B30">
        <w:rPr>
          <w:rFonts w:eastAsia="Times New Roman"/>
          <w:b/>
          <w:iCs/>
          <w:sz w:val="24"/>
          <w:szCs w:val="24"/>
          <w:lang w:eastAsia="ru-RU"/>
        </w:rPr>
        <w:t>транспортных упаковочных комплектах</w:t>
      </w:r>
      <w:r w:rsidRPr="00196B30">
        <w:rPr>
          <w:rFonts w:eastAsia="Times New Roman"/>
          <w:b/>
          <w:color w:val="000000"/>
          <w:sz w:val="24"/>
          <w:szCs w:val="24"/>
          <w:lang w:eastAsia="ru-RU"/>
        </w:rPr>
        <w:t>,</w:t>
      </w:r>
      <w:r w:rsidRPr="00196B30">
        <w:rPr>
          <w:rFonts w:eastAsia="Times New Roman"/>
          <w:sz w:val="24"/>
          <w:szCs w:val="24"/>
          <w:lang w:eastAsia="ru-RU"/>
        </w:rPr>
        <w:t xml:space="preserve"> которые представляют собой систему, состоящую из сочетания различных устройств, обеспечивающих безопасность доставки, сохранность радиоактивных веществ и предотвращающих попадание их в окружающую среду.</w:t>
      </w:r>
    </w:p>
    <w:bookmarkEnd w:id="6"/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lastRenderedPageBreak/>
        <w:t>Т</w:t>
      </w:r>
      <w:r w:rsidRPr="00196B30">
        <w:rPr>
          <w:rFonts w:eastAsia="Times New Roman"/>
          <w:iCs/>
          <w:sz w:val="24"/>
          <w:szCs w:val="24"/>
          <w:lang w:eastAsia="ru-RU"/>
        </w:rPr>
        <w:t>ранспортный упаковочный комплект</w:t>
      </w:r>
      <w:r w:rsidRPr="00196B30">
        <w:rPr>
          <w:rFonts w:eastAsia="Times New Roman"/>
          <w:sz w:val="24"/>
          <w:szCs w:val="24"/>
          <w:lang w:eastAsia="ru-RU"/>
        </w:rPr>
        <w:t xml:space="preserve"> (рисунок 19) может состоять из нескольких элементов. Среди них выделяют: защитный контейнер 7 для ослабления ионизирующего излучения, испускаемого радиоактивным веществом 1, защитный вкладыш </w:t>
      </w:r>
      <w:r w:rsidRPr="00196B30">
        <w:rPr>
          <w:rFonts w:eastAsia="Times New Roman"/>
          <w:iCs/>
          <w:sz w:val="24"/>
          <w:szCs w:val="24"/>
          <w:lang w:eastAsia="ru-RU"/>
        </w:rPr>
        <w:t xml:space="preserve">6 - </w:t>
      </w:r>
      <w:r w:rsidRPr="00196B30">
        <w:rPr>
          <w:rFonts w:eastAsia="Times New Roman"/>
          <w:sz w:val="24"/>
          <w:szCs w:val="24"/>
          <w:lang w:eastAsia="ru-RU"/>
        </w:rPr>
        <w:t xml:space="preserve">вспомогательное упаковочное средство для дополнительного ослабления ионизирующего излучения; загрузочный стакан 3 для удобства и безопасности загрузки и выгрузки первичной емкости </w:t>
      </w:r>
      <w:r w:rsidRPr="00196B30">
        <w:rPr>
          <w:rFonts w:eastAsia="Times New Roman"/>
          <w:iCs/>
          <w:sz w:val="24"/>
          <w:szCs w:val="24"/>
          <w:lang w:eastAsia="ru-RU"/>
        </w:rPr>
        <w:t xml:space="preserve">2 </w:t>
      </w:r>
      <w:r w:rsidRPr="00196B30">
        <w:rPr>
          <w:rFonts w:eastAsia="Times New Roman"/>
          <w:sz w:val="24"/>
          <w:szCs w:val="24"/>
          <w:lang w:eastAsia="ru-RU"/>
        </w:rPr>
        <w:t xml:space="preserve">с радиоактивным веществом 1; вспомогательные упаковочные средства </w:t>
      </w:r>
      <w:r w:rsidRPr="00196B30">
        <w:rPr>
          <w:rFonts w:eastAsia="Times New Roman"/>
          <w:iCs/>
          <w:sz w:val="24"/>
          <w:szCs w:val="24"/>
          <w:lang w:eastAsia="ru-RU"/>
        </w:rPr>
        <w:t xml:space="preserve">4 </w:t>
      </w:r>
      <w:r w:rsidRPr="00196B30">
        <w:rPr>
          <w:rFonts w:eastAsia="Times New Roman"/>
          <w:sz w:val="24"/>
          <w:szCs w:val="24"/>
          <w:lang w:eastAsia="ru-RU"/>
        </w:rPr>
        <w:t xml:space="preserve"> материалы для повышения сохранности первичной емкости и поглощения радиоактивных веще</w:t>
      </w:r>
      <w:proofErr w:type="gramStart"/>
      <w:r w:rsidRPr="00196B30">
        <w:rPr>
          <w:rFonts w:eastAsia="Times New Roman"/>
          <w:sz w:val="24"/>
          <w:szCs w:val="24"/>
          <w:lang w:eastAsia="ru-RU"/>
        </w:rPr>
        <w:t>ств в сл</w:t>
      </w:r>
      <w:proofErr w:type="gramEnd"/>
      <w:r w:rsidRPr="00196B30">
        <w:rPr>
          <w:rFonts w:eastAsia="Times New Roman"/>
          <w:sz w:val="24"/>
          <w:szCs w:val="24"/>
          <w:lang w:eastAsia="ru-RU"/>
        </w:rPr>
        <w:t xml:space="preserve">учае ее аварийного повреждения; герметизирующий сосуд 5, предотвращающий распространение радиоактивных веществ в окружающую среду; охранную тару </w:t>
      </w:r>
      <w:r w:rsidRPr="00196B30">
        <w:rPr>
          <w:rFonts w:eastAsia="Times New Roman"/>
          <w:iCs/>
          <w:sz w:val="24"/>
          <w:szCs w:val="24"/>
          <w:lang w:eastAsia="ru-RU"/>
        </w:rPr>
        <w:t xml:space="preserve">8, </w:t>
      </w:r>
      <w:r w:rsidRPr="00196B30">
        <w:rPr>
          <w:rFonts w:eastAsia="Times New Roman"/>
          <w:sz w:val="24"/>
          <w:szCs w:val="24"/>
          <w:lang w:eastAsia="ru-RU"/>
        </w:rPr>
        <w:t xml:space="preserve">предотвращающую непосредственный контакт составных частей упаковочного комплекта с обслуживающим персоналом, транспортными средствами и другими объектами окружающей среды; грузоподъемные элементы </w:t>
      </w:r>
      <w:r w:rsidRPr="00196B30">
        <w:rPr>
          <w:rFonts w:eastAsia="Times New Roman"/>
          <w:iCs/>
          <w:sz w:val="24"/>
          <w:szCs w:val="24"/>
          <w:lang w:eastAsia="ru-RU"/>
        </w:rPr>
        <w:t xml:space="preserve">9 </w:t>
      </w:r>
      <w:r w:rsidRPr="00196B30">
        <w:rPr>
          <w:rFonts w:eastAsia="Times New Roman"/>
          <w:sz w:val="24"/>
          <w:szCs w:val="24"/>
          <w:lang w:eastAsia="ru-RU"/>
        </w:rPr>
        <w:t>для подъема и переноса упаковочных комплектов при погрузочно-разгрузочных работах.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</w:p>
    <w:p w:rsidR="00196B30" w:rsidRPr="00196B30" w:rsidRDefault="00196B30" w:rsidP="00196B30">
      <w:pPr>
        <w:jc w:val="center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noProof/>
          <w:sz w:val="24"/>
          <w:szCs w:val="24"/>
          <w:lang w:eastAsia="ru-RU"/>
        </w:rPr>
        <w:drawing>
          <wp:inline distT="0" distB="0" distL="0" distR="0">
            <wp:extent cx="1817816" cy="1828800"/>
            <wp:effectExtent l="19050" t="0" r="0" b="0"/>
            <wp:docPr id="1" name="Рисунок 28" descr="C:\Documents and Settings\Оленька\Рабочий стол\Безымянны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Documents and Settings\Оленька\Рабочий стол\Безымянный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743" cy="1831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B30" w:rsidRPr="00196B30" w:rsidRDefault="00196B30" w:rsidP="00196B30">
      <w:pPr>
        <w:jc w:val="center"/>
        <w:rPr>
          <w:rFonts w:eastAsia="Times New Roman"/>
          <w:sz w:val="24"/>
          <w:szCs w:val="24"/>
          <w:lang w:eastAsia="ru-RU"/>
        </w:rPr>
      </w:pPr>
    </w:p>
    <w:p w:rsidR="00196B30" w:rsidRPr="00196B30" w:rsidRDefault="00196B30" w:rsidP="00196B30">
      <w:pPr>
        <w:jc w:val="center"/>
        <w:rPr>
          <w:rFonts w:eastAsia="Times New Roman"/>
          <w:iCs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>Рисунок 19 – Схема т</w:t>
      </w:r>
      <w:r w:rsidRPr="00196B30">
        <w:rPr>
          <w:rFonts w:eastAsia="Times New Roman"/>
          <w:iCs/>
          <w:sz w:val="24"/>
          <w:szCs w:val="24"/>
          <w:lang w:eastAsia="ru-RU"/>
        </w:rPr>
        <w:t>ранспортного упаковочного комплекта.</w:t>
      </w:r>
    </w:p>
    <w:p w:rsidR="00196B30" w:rsidRPr="00196B30" w:rsidRDefault="00196B30" w:rsidP="00196B30">
      <w:pPr>
        <w:jc w:val="center"/>
        <w:rPr>
          <w:rFonts w:eastAsia="Times New Roman"/>
          <w:iCs/>
          <w:sz w:val="24"/>
          <w:szCs w:val="24"/>
          <w:lang w:eastAsia="ru-RU"/>
        </w:rPr>
      </w:pP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iCs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 xml:space="preserve">Выделяют </w:t>
      </w:r>
      <w:r w:rsidRPr="00196B30">
        <w:rPr>
          <w:rFonts w:eastAsia="Times New Roman"/>
          <w:b/>
          <w:sz w:val="24"/>
          <w:szCs w:val="24"/>
          <w:lang w:eastAsia="ru-RU"/>
        </w:rPr>
        <w:t xml:space="preserve">три </w:t>
      </w:r>
      <w:r w:rsidRPr="00196B30">
        <w:rPr>
          <w:rFonts w:eastAsia="Times New Roman"/>
          <w:b/>
          <w:iCs/>
          <w:sz w:val="24"/>
          <w:szCs w:val="24"/>
          <w:lang w:eastAsia="ru-RU"/>
        </w:rPr>
        <w:t>вида</w:t>
      </w:r>
      <w:r w:rsidRPr="00196B30">
        <w:rPr>
          <w:rFonts w:eastAsia="Times New Roman"/>
          <w:iCs/>
          <w:sz w:val="24"/>
          <w:szCs w:val="24"/>
          <w:lang w:eastAsia="ru-RU"/>
        </w:rPr>
        <w:t xml:space="preserve"> упаковочных комплектов: 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sz w:val="24"/>
          <w:szCs w:val="24"/>
          <w:lang w:val="en-US" w:eastAsia="ru-RU"/>
        </w:rPr>
        <w:t>I</w:t>
      </w:r>
      <w:r w:rsidRPr="00196B30">
        <w:rPr>
          <w:rFonts w:eastAsia="Times New Roman"/>
          <w:sz w:val="24"/>
          <w:szCs w:val="24"/>
          <w:lang w:eastAsia="ru-RU"/>
        </w:rPr>
        <w:t xml:space="preserve"> для перевозки источников </w:t>
      </w:r>
      <w:proofErr w:type="spellStart"/>
      <w:r w:rsidRPr="00196B30">
        <w:rPr>
          <w:rFonts w:eastAsia="Times New Roman"/>
          <w:sz w:val="24"/>
          <w:szCs w:val="24"/>
          <w:lang w:eastAsia="ru-RU"/>
        </w:rPr>
        <w:t>γ-излучения</w:t>
      </w:r>
      <w:proofErr w:type="spellEnd"/>
      <w:r w:rsidRPr="00196B30">
        <w:rPr>
          <w:rFonts w:eastAsia="Times New Roman"/>
          <w:sz w:val="24"/>
          <w:szCs w:val="24"/>
          <w:lang w:eastAsia="ru-RU"/>
        </w:rPr>
        <w:t xml:space="preserve"> и других видов излучения, испускаемых радиоактивными веществами, кроме нейтронного; 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sz w:val="24"/>
          <w:szCs w:val="24"/>
          <w:lang w:val="en-US" w:eastAsia="ru-RU"/>
        </w:rPr>
        <w:t>II</w:t>
      </w:r>
      <w:r w:rsidRPr="00196B30">
        <w:rPr>
          <w:rFonts w:eastAsia="Times New Roman"/>
          <w:sz w:val="24"/>
          <w:szCs w:val="24"/>
          <w:lang w:eastAsia="ru-RU"/>
        </w:rPr>
        <w:t xml:space="preserve"> для источников нейтронов и других видов излучений; 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proofErr w:type="gramStart"/>
      <w:r w:rsidRPr="00196B30">
        <w:rPr>
          <w:rFonts w:eastAsia="Times New Roman"/>
          <w:b/>
          <w:sz w:val="24"/>
          <w:szCs w:val="24"/>
          <w:lang w:val="en-US" w:eastAsia="ru-RU"/>
        </w:rPr>
        <w:t>III</w:t>
      </w:r>
      <w:r w:rsidRPr="00196B30">
        <w:rPr>
          <w:rFonts w:eastAsia="Times New Roman"/>
          <w:sz w:val="24"/>
          <w:szCs w:val="24"/>
          <w:lang w:eastAsia="ru-RU"/>
        </w:rPr>
        <w:t xml:space="preserve"> для источников </w:t>
      </w:r>
      <w:proofErr w:type="spellStart"/>
      <w:r w:rsidRPr="00196B30">
        <w:rPr>
          <w:rFonts w:eastAsia="Times New Roman"/>
          <w:sz w:val="24"/>
          <w:szCs w:val="24"/>
          <w:lang w:eastAsia="ru-RU"/>
        </w:rPr>
        <w:t>α-</w:t>
      </w:r>
      <w:proofErr w:type="spellEnd"/>
      <w:r w:rsidRPr="00196B30">
        <w:rPr>
          <w:rFonts w:eastAsia="Times New Roman"/>
          <w:sz w:val="24"/>
          <w:szCs w:val="24"/>
          <w:lang w:eastAsia="ru-RU"/>
        </w:rPr>
        <w:t xml:space="preserve"> и </w:t>
      </w:r>
      <w:proofErr w:type="spellStart"/>
      <w:r w:rsidRPr="00196B30">
        <w:rPr>
          <w:rFonts w:eastAsia="Times New Roman"/>
          <w:sz w:val="24"/>
          <w:szCs w:val="24"/>
          <w:lang w:eastAsia="ru-RU"/>
        </w:rPr>
        <w:t>β-излучений.</w:t>
      </w:r>
      <w:proofErr w:type="spellEnd"/>
      <w:proofErr w:type="gramEnd"/>
      <w:r w:rsidRPr="00196B30">
        <w:rPr>
          <w:rFonts w:eastAsia="Times New Roman"/>
          <w:sz w:val="24"/>
          <w:szCs w:val="24"/>
          <w:lang w:eastAsia="ru-RU"/>
        </w:rPr>
        <w:t xml:space="preserve"> </w:t>
      </w: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 xml:space="preserve">Упаковочные комплекты I вида для источников </w:t>
      </w:r>
      <w:proofErr w:type="spellStart"/>
      <w:proofErr w:type="gramStart"/>
      <w:r w:rsidRPr="00196B30">
        <w:rPr>
          <w:rFonts w:eastAsia="Times New Roman"/>
          <w:sz w:val="24"/>
          <w:szCs w:val="24"/>
          <w:lang w:eastAsia="ru-RU"/>
        </w:rPr>
        <w:t>γ-</w:t>
      </w:r>
      <w:proofErr w:type="gramEnd"/>
      <w:r w:rsidRPr="00196B30">
        <w:rPr>
          <w:rFonts w:eastAsia="Times New Roman"/>
          <w:sz w:val="24"/>
          <w:szCs w:val="24"/>
          <w:lang w:eastAsia="ru-RU"/>
        </w:rPr>
        <w:t>излучения</w:t>
      </w:r>
      <w:proofErr w:type="spellEnd"/>
      <w:r w:rsidRPr="00196B30">
        <w:rPr>
          <w:rFonts w:eastAsia="Times New Roman"/>
          <w:sz w:val="24"/>
          <w:szCs w:val="24"/>
          <w:lang w:eastAsia="ru-RU"/>
        </w:rPr>
        <w:t xml:space="preserve"> содержат противорадиационные устройства (защитный контейнер, защитный вкладыш) из свинца, чугуна, стали или других тяжелых материалов. В упаковочных комплектах II вида для защиты от нейтронного излучения применяют парафин или другие водородсодержащие вещества с добавлением бора или кадмия. Для упаковочных комплектов III вида используют, как правило, легкие материалы - алюминий и различные пластмассы, а также небольшие защитные вкладыши из свинца.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 xml:space="preserve">По способности сохранять защитные и герметизирующие свойства при внешних воздействиях упаковочные комплекты для перевозки радиоактивных веществ делят на </w:t>
      </w:r>
      <w:r w:rsidRPr="00196B30">
        <w:rPr>
          <w:rFonts w:eastAsia="Times New Roman"/>
          <w:b/>
          <w:sz w:val="24"/>
          <w:szCs w:val="24"/>
          <w:lang w:eastAsia="ru-RU"/>
        </w:rPr>
        <w:t xml:space="preserve">два основных типа: А </w:t>
      </w:r>
      <w:r w:rsidRPr="00196B30">
        <w:rPr>
          <w:rFonts w:eastAsia="Times New Roman"/>
          <w:sz w:val="24"/>
          <w:szCs w:val="24"/>
          <w:lang w:eastAsia="ru-RU"/>
        </w:rPr>
        <w:t>(нормальные условия)</w:t>
      </w:r>
      <w:r w:rsidRPr="00196B30">
        <w:rPr>
          <w:rFonts w:eastAsia="Times New Roman"/>
          <w:b/>
          <w:sz w:val="24"/>
          <w:szCs w:val="24"/>
          <w:lang w:eastAsia="ru-RU"/>
        </w:rPr>
        <w:t xml:space="preserve"> и</w:t>
      </w:r>
      <w:proofErr w:type="gramStart"/>
      <w:r w:rsidRPr="00196B30">
        <w:rPr>
          <w:rFonts w:eastAsia="Times New Roman"/>
          <w:b/>
          <w:sz w:val="24"/>
          <w:szCs w:val="24"/>
          <w:lang w:eastAsia="ru-RU"/>
        </w:rPr>
        <w:t xml:space="preserve"> В</w:t>
      </w:r>
      <w:proofErr w:type="gramEnd"/>
      <w:r w:rsidRPr="00196B30">
        <w:rPr>
          <w:rFonts w:eastAsia="Times New Roman"/>
          <w:b/>
          <w:sz w:val="24"/>
          <w:szCs w:val="24"/>
          <w:lang w:eastAsia="ru-RU"/>
        </w:rPr>
        <w:t xml:space="preserve"> </w:t>
      </w:r>
      <w:r w:rsidRPr="00196B30">
        <w:rPr>
          <w:rFonts w:eastAsia="Times New Roman"/>
          <w:sz w:val="24"/>
          <w:szCs w:val="24"/>
          <w:lang w:eastAsia="ru-RU"/>
        </w:rPr>
        <w:t>(аварийные условия).</w:t>
      </w:r>
    </w:p>
    <w:p w:rsidR="00196B30" w:rsidRPr="00196B30" w:rsidRDefault="00196B30" w:rsidP="00196B30">
      <w:pPr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 xml:space="preserve">Установлены </w:t>
      </w:r>
      <w:r w:rsidRPr="00196B30">
        <w:rPr>
          <w:rFonts w:eastAsia="Times New Roman"/>
          <w:b/>
          <w:sz w:val="24"/>
          <w:szCs w:val="24"/>
          <w:lang w:eastAsia="ru-RU"/>
        </w:rPr>
        <w:t xml:space="preserve">четыре </w:t>
      </w:r>
      <w:r w:rsidRPr="00196B30">
        <w:rPr>
          <w:rFonts w:eastAsia="Times New Roman"/>
          <w:b/>
          <w:iCs/>
          <w:sz w:val="24"/>
          <w:szCs w:val="24"/>
          <w:lang w:eastAsia="ru-RU"/>
        </w:rPr>
        <w:t>транспортные категории</w:t>
      </w:r>
      <w:r w:rsidRPr="00196B30">
        <w:rPr>
          <w:rFonts w:eastAsia="Times New Roman"/>
          <w:iCs/>
          <w:sz w:val="24"/>
          <w:szCs w:val="24"/>
          <w:lang w:eastAsia="ru-RU"/>
        </w:rPr>
        <w:t xml:space="preserve"> радиационных упаковок </w:t>
      </w:r>
      <w:r w:rsidRPr="00196B30">
        <w:rPr>
          <w:rFonts w:eastAsia="Times New Roman"/>
          <w:sz w:val="24"/>
          <w:szCs w:val="24"/>
          <w:lang w:eastAsia="ru-RU"/>
        </w:rPr>
        <w:t>(таблица 12), которые определяются мощностью эквивалентной дозы в любой точке на наружной поверхности упаковок и на расстоянии 1 м от любой точки поверхности упаковок.</w:t>
      </w:r>
    </w:p>
    <w:p w:rsidR="00196B30" w:rsidRPr="00196B30" w:rsidRDefault="00196B30" w:rsidP="00196B30">
      <w:pPr>
        <w:ind w:firstLine="0"/>
        <w:rPr>
          <w:rFonts w:eastAsia="Times New Roman"/>
          <w:sz w:val="24"/>
          <w:szCs w:val="24"/>
          <w:lang w:eastAsia="ru-RU"/>
        </w:rPr>
      </w:pPr>
    </w:p>
    <w:p w:rsidR="00196B30" w:rsidRPr="00196B30" w:rsidRDefault="00196B30" w:rsidP="00196B30">
      <w:pPr>
        <w:ind w:firstLine="0"/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sz w:val="24"/>
          <w:szCs w:val="24"/>
          <w:lang w:eastAsia="ru-RU"/>
        </w:rPr>
        <w:t xml:space="preserve">Таблица 12 - </w:t>
      </w:r>
      <w:r w:rsidRPr="00196B30">
        <w:rPr>
          <w:rFonts w:eastAsia="Times New Roman"/>
          <w:bCs/>
          <w:sz w:val="24"/>
          <w:szCs w:val="24"/>
          <w:lang w:eastAsia="ru-RU"/>
        </w:rPr>
        <w:t>Транспортные категории упаковок</w:t>
      </w:r>
    </w:p>
    <w:tbl>
      <w:tblPr>
        <w:tblStyle w:val="a5"/>
        <w:tblW w:w="9356" w:type="dxa"/>
        <w:tblInd w:w="108" w:type="dxa"/>
        <w:tblLook w:val="04A0"/>
      </w:tblPr>
      <w:tblGrid>
        <w:gridCol w:w="1785"/>
        <w:gridCol w:w="1633"/>
        <w:gridCol w:w="2819"/>
        <w:gridCol w:w="3119"/>
      </w:tblGrid>
      <w:tr w:rsidR="00196B30" w:rsidRPr="00196B30" w:rsidTr="00121EA9">
        <w:tc>
          <w:tcPr>
            <w:tcW w:w="1785" w:type="dxa"/>
            <w:vMerge w:val="restart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Транспортная категория</w:t>
            </w:r>
          </w:p>
        </w:tc>
        <w:tc>
          <w:tcPr>
            <w:tcW w:w="1633" w:type="dxa"/>
            <w:vMerge w:val="restart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Цвет этикетки транспортной категории</w:t>
            </w:r>
          </w:p>
        </w:tc>
        <w:tc>
          <w:tcPr>
            <w:tcW w:w="5938" w:type="dxa"/>
            <w:gridSpan w:val="2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 xml:space="preserve">Предельно допустимая мощность эквивалентной дозы излучения, </w:t>
            </w:r>
            <w:proofErr w:type="spellStart"/>
            <w:r w:rsidRPr="00196B30">
              <w:rPr>
                <w:sz w:val="24"/>
                <w:szCs w:val="24"/>
              </w:rPr>
              <w:t>мЗв</w:t>
            </w:r>
            <w:proofErr w:type="spellEnd"/>
            <w:r w:rsidRPr="00196B30">
              <w:rPr>
                <w:sz w:val="24"/>
                <w:szCs w:val="24"/>
              </w:rPr>
              <w:t>/ч (</w:t>
            </w:r>
            <w:proofErr w:type="spellStart"/>
            <w:r w:rsidRPr="00196B30">
              <w:rPr>
                <w:sz w:val="24"/>
                <w:szCs w:val="24"/>
              </w:rPr>
              <w:t>мбзр</w:t>
            </w:r>
            <w:proofErr w:type="spellEnd"/>
            <w:r w:rsidRPr="00196B30">
              <w:rPr>
                <w:sz w:val="24"/>
                <w:szCs w:val="24"/>
              </w:rPr>
              <w:t>/ч)</w:t>
            </w:r>
          </w:p>
        </w:tc>
      </w:tr>
      <w:tr w:rsidR="00196B30" w:rsidRPr="00196B30" w:rsidTr="00121EA9">
        <w:tc>
          <w:tcPr>
            <w:tcW w:w="1785" w:type="dxa"/>
            <w:vMerge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в любой точке на наружной поверхности упаковки</w:t>
            </w:r>
          </w:p>
        </w:tc>
        <w:tc>
          <w:tcPr>
            <w:tcW w:w="31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на расстоянии 1 м от любой точки поверхности упаковки</w:t>
            </w:r>
          </w:p>
        </w:tc>
      </w:tr>
      <w:tr w:rsidR="00196B30" w:rsidRPr="00196B30" w:rsidTr="00121EA9">
        <w:trPr>
          <w:trHeight w:val="240"/>
        </w:trPr>
        <w:tc>
          <w:tcPr>
            <w:tcW w:w="1785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lastRenderedPageBreak/>
              <w:t>I</w:t>
            </w:r>
          </w:p>
        </w:tc>
        <w:tc>
          <w:tcPr>
            <w:tcW w:w="1633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Белый</w:t>
            </w:r>
          </w:p>
        </w:tc>
        <w:tc>
          <w:tcPr>
            <w:tcW w:w="28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0,005 (0,5)</w:t>
            </w:r>
          </w:p>
        </w:tc>
        <w:tc>
          <w:tcPr>
            <w:tcW w:w="31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Не учитывается</w:t>
            </w:r>
          </w:p>
        </w:tc>
      </w:tr>
      <w:tr w:rsidR="00196B30" w:rsidRPr="00196B30" w:rsidTr="00121EA9">
        <w:trPr>
          <w:trHeight w:val="270"/>
        </w:trPr>
        <w:tc>
          <w:tcPr>
            <w:tcW w:w="1785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II</w:t>
            </w:r>
          </w:p>
        </w:tc>
        <w:tc>
          <w:tcPr>
            <w:tcW w:w="1633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Желтый</w:t>
            </w:r>
          </w:p>
        </w:tc>
        <w:tc>
          <w:tcPr>
            <w:tcW w:w="28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0,5(50,0)</w:t>
            </w:r>
          </w:p>
        </w:tc>
        <w:tc>
          <w:tcPr>
            <w:tcW w:w="31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0,01(1)</w:t>
            </w:r>
          </w:p>
        </w:tc>
      </w:tr>
      <w:tr w:rsidR="00196B30" w:rsidRPr="00196B30" w:rsidTr="00121EA9">
        <w:trPr>
          <w:trHeight w:val="240"/>
        </w:trPr>
        <w:tc>
          <w:tcPr>
            <w:tcW w:w="1785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III</w:t>
            </w:r>
          </w:p>
        </w:tc>
        <w:tc>
          <w:tcPr>
            <w:tcW w:w="1633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Желтый</w:t>
            </w:r>
          </w:p>
        </w:tc>
        <w:tc>
          <w:tcPr>
            <w:tcW w:w="28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2,0(200,0)</w:t>
            </w:r>
          </w:p>
        </w:tc>
        <w:tc>
          <w:tcPr>
            <w:tcW w:w="31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0,1(10)</w:t>
            </w:r>
          </w:p>
        </w:tc>
      </w:tr>
      <w:tr w:rsidR="00196B30" w:rsidRPr="00196B30" w:rsidTr="00121EA9">
        <w:trPr>
          <w:trHeight w:val="285"/>
        </w:trPr>
        <w:tc>
          <w:tcPr>
            <w:tcW w:w="1785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IV</w:t>
            </w:r>
          </w:p>
        </w:tc>
        <w:tc>
          <w:tcPr>
            <w:tcW w:w="1633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Желтый</w:t>
            </w:r>
          </w:p>
        </w:tc>
        <w:tc>
          <w:tcPr>
            <w:tcW w:w="28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10,0(1000,0)</w:t>
            </w:r>
          </w:p>
        </w:tc>
        <w:tc>
          <w:tcPr>
            <w:tcW w:w="3119" w:type="dxa"/>
            <w:hideMark/>
          </w:tcPr>
          <w:p w:rsidR="00196B30" w:rsidRPr="00196B30" w:rsidRDefault="00196B30" w:rsidP="00196B30">
            <w:pPr>
              <w:jc w:val="center"/>
              <w:rPr>
                <w:sz w:val="24"/>
                <w:szCs w:val="24"/>
              </w:rPr>
            </w:pPr>
            <w:r w:rsidRPr="00196B30">
              <w:rPr>
                <w:sz w:val="24"/>
                <w:szCs w:val="24"/>
              </w:rPr>
              <w:t>0,5(50)</w:t>
            </w:r>
          </w:p>
        </w:tc>
      </w:tr>
    </w:tbl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</w:p>
    <w:p w:rsidR="00196B30" w:rsidRPr="00196B30" w:rsidRDefault="00196B30" w:rsidP="00196B30">
      <w:pPr>
        <w:rPr>
          <w:rFonts w:eastAsia="Times New Roman"/>
          <w:sz w:val="24"/>
          <w:szCs w:val="24"/>
          <w:lang w:eastAsia="ru-RU"/>
        </w:rPr>
      </w:pPr>
      <w:r w:rsidRPr="00196B30">
        <w:rPr>
          <w:rFonts w:eastAsia="Times New Roman"/>
          <w:b/>
          <w:sz w:val="24"/>
          <w:szCs w:val="24"/>
          <w:lang w:eastAsia="ru-RU"/>
        </w:rPr>
        <w:t>Правила</w:t>
      </w:r>
      <w:r w:rsidRPr="00196B30">
        <w:rPr>
          <w:rFonts w:eastAsia="Times New Roman"/>
          <w:sz w:val="24"/>
          <w:szCs w:val="24"/>
          <w:lang w:eastAsia="ru-RU"/>
        </w:rPr>
        <w:t xml:space="preserve"> транспортировки радиоактивных веществ и радиоактивных отходов </w:t>
      </w:r>
      <w:r w:rsidRPr="00196B30">
        <w:rPr>
          <w:rFonts w:eastAsia="Times New Roman"/>
          <w:b/>
          <w:sz w:val="24"/>
          <w:szCs w:val="24"/>
          <w:lang w:eastAsia="ru-RU"/>
        </w:rPr>
        <w:t>Республики Казахстан</w:t>
      </w:r>
      <w:r w:rsidRPr="00196B30">
        <w:rPr>
          <w:rFonts w:eastAsia="Times New Roman"/>
          <w:sz w:val="24"/>
          <w:szCs w:val="24"/>
          <w:lang w:eastAsia="ru-RU"/>
        </w:rPr>
        <w:t xml:space="preserve"> определяю типы транспортных упаковочных комплектов, содержащих радиоактивные вещества или отходы: </w:t>
      </w:r>
      <w:r w:rsidRPr="00196B30">
        <w:rPr>
          <w:rFonts w:eastAsia="Times New Roman"/>
          <w:b/>
          <w:sz w:val="24"/>
          <w:szCs w:val="24"/>
          <w:lang w:eastAsia="ru-RU"/>
        </w:rPr>
        <w:t>освобожденная упаковка,</w:t>
      </w:r>
      <w:r w:rsidRPr="00196B30">
        <w:rPr>
          <w:rFonts w:eastAsia="Times New Roman"/>
          <w:sz w:val="24"/>
          <w:szCs w:val="24"/>
          <w:lang w:eastAsia="ru-RU"/>
        </w:rPr>
        <w:t xml:space="preserve"> промышленная упаковка </w:t>
      </w:r>
      <w:r w:rsidRPr="00196B30">
        <w:rPr>
          <w:rFonts w:eastAsia="Times New Roman"/>
          <w:b/>
          <w:sz w:val="24"/>
          <w:szCs w:val="24"/>
          <w:lang w:eastAsia="ru-RU"/>
        </w:rPr>
        <w:t>типов 1, 2 и 3 (ПУ-1, ПУ-2, ПУ-3)</w:t>
      </w:r>
      <w:r w:rsidRPr="00196B30">
        <w:rPr>
          <w:rFonts w:eastAsia="Times New Roman"/>
          <w:sz w:val="24"/>
          <w:szCs w:val="24"/>
          <w:lang w:eastAsia="ru-RU"/>
        </w:rPr>
        <w:t xml:space="preserve"> для материалов с низкой удельной активностью и объектов с поверхностным радиоактивным загрязнением, </w:t>
      </w:r>
      <w:r w:rsidRPr="00196B30">
        <w:rPr>
          <w:rFonts w:eastAsia="Times New Roman"/>
          <w:b/>
          <w:sz w:val="24"/>
          <w:szCs w:val="24"/>
          <w:lang w:eastAsia="ru-RU"/>
        </w:rPr>
        <w:t>упаковка типов</w:t>
      </w:r>
      <w:proofErr w:type="gramStart"/>
      <w:r w:rsidRPr="00196B30">
        <w:rPr>
          <w:rFonts w:eastAsia="Times New Roman"/>
          <w:b/>
          <w:sz w:val="24"/>
          <w:szCs w:val="24"/>
          <w:lang w:eastAsia="ru-RU"/>
        </w:rPr>
        <w:t xml:space="preserve"> А</w:t>
      </w:r>
      <w:proofErr w:type="gramEnd"/>
      <w:r w:rsidRPr="00196B30">
        <w:rPr>
          <w:rFonts w:eastAsia="Times New Roman"/>
          <w:b/>
          <w:sz w:val="24"/>
          <w:szCs w:val="24"/>
          <w:lang w:eastAsia="ru-RU"/>
        </w:rPr>
        <w:t>, В и С.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11E8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EF4505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0E4B23"/>
    <w:multiLevelType w:val="hybridMultilevel"/>
    <w:tmpl w:val="9E129B9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0756297B"/>
    <w:multiLevelType w:val="hybridMultilevel"/>
    <w:tmpl w:val="2F40F90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478643D"/>
    <w:multiLevelType w:val="hybridMultilevel"/>
    <w:tmpl w:val="6E2CF08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5">
    <w:nsid w:val="178A3CB9"/>
    <w:multiLevelType w:val="hybridMultilevel"/>
    <w:tmpl w:val="7C682CE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195E70C8"/>
    <w:multiLevelType w:val="multilevel"/>
    <w:tmpl w:val="EC089EB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96F5D44"/>
    <w:multiLevelType w:val="hybridMultilevel"/>
    <w:tmpl w:val="84540A3C"/>
    <w:lvl w:ilvl="0" w:tplc="3E161FD4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>
    <w:nsid w:val="1BB065D2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805D0B"/>
    <w:multiLevelType w:val="hybridMultilevel"/>
    <w:tmpl w:val="55F86E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96255CD"/>
    <w:multiLevelType w:val="hybridMultilevel"/>
    <w:tmpl w:val="C9E87B2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A2F7926"/>
    <w:multiLevelType w:val="hybridMultilevel"/>
    <w:tmpl w:val="D56E73D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2BF87E87"/>
    <w:multiLevelType w:val="hybridMultilevel"/>
    <w:tmpl w:val="96A0140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5C454F6"/>
    <w:multiLevelType w:val="hybridMultilevel"/>
    <w:tmpl w:val="7468244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64240CB"/>
    <w:multiLevelType w:val="hybridMultilevel"/>
    <w:tmpl w:val="D960C0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5">
    <w:nsid w:val="3CC50BC9"/>
    <w:multiLevelType w:val="hybridMultilevel"/>
    <w:tmpl w:val="931C27D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F666972"/>
    <w:multiLevelType w:val="hybridMultilevel"/>
    <w:tmpl w:val="EAD0AC9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7">
    <w:nsid w:val="46F31B4F"/>
    <w:multiLevelType w:val="hybridMultilevel"/>
    <w:tmpl w:val="93D8361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8">
    <w:nsid w:val="4B9C5E8F"/>
    <w:multiLevelType w:val="hybridMultilevel"/>
    <w:tmpl w:val="6212BD84"/>
    <w:lvl w:ilvl="0" w:tplc="2FF061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6EF43A">
      <w:start w:val="1"/>
      <w:numFmt w:val="bullet"/>
      <w:lvlText w:val="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D557AC7"/>
    <w:multiLevelType w:val="hybridMultilevel"/>
    <w:tmpl w:val="FDCE90E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0">
    <w:nsid w:val="4EB64F97"/>
    <w:multiLevelType w:val="hybridMultilevel"/>
    <w:tmpl w:val="544C4F8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1B13A9B"/>
    <w:multiLevelType w:val="hybridMultilevel"/>
    <w:tmpl w:val="2DEAE6B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4F752FC"/>
    <w:multiLevelType w:val="multilevel"/>
    <w:tmpl w:val="BE3E0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16442F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3D1C5D"/>
    <w:multiLevelType w:val="hybridMultilevel"/>
    <w:tmpl w:val="96B07DB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9321955"/>
    <w:multiLevelType w:val="multilevel"/>
    <w:tmpl w:val="2AE269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5CED35A2"/>
    <w:multiLevelType w:val="hybridMultilevel"/>
    <w:tmpl w:val="A50A1D4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61EC656C"/>
    <w:multiLevelType w:val="hybridMultilevel"/>
    <w:tmpl w:val="571E84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65D559E3"/>
    <w:multiLevelType w:val="hybridMultilevel"/>
    <w:tmpl w:val="91D402FA"/>
    <w:lvl w:ilvl="0" w:tplc="2446FD7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9">
    <w:nsid w:val="674B662F"/>
    <w:multiLevelType w:val="hybridMultilevel"/>
    <w:tmpl w:val="DC74EE7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694A1593"/>
    <w:multiLevelType w:val="hybridMultilevel"/>
    <w:tmpl w:val="B26EB7F4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6DCC0A37"/>
    <w:multiLevelType w:val="hybridMultilevel"/>
    <w:tmpl w:val="1E88CD1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2">
    <w:nsid w:val="6DEE1E48"/>
    <w:multiLevelType w:val="hybridMultilevel"/>
    <w:tmpl w:val="E756846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3">
    <w:nsid w:val="765276A3"/>
    <w:multiLevelType w:val="hybridMultilevel"/>
    <w:tmpl w:val="50E86F0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4">
    <w:nsid w:val="771249FE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7BC455C"/>
    <w:multiLevelType w:val="hybridMultilevel"/>
    <w:tmpl w:val="2C9A54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6">
    <w:nsid w:val="7A7E798D"/>
    <w:multiLevelType w:val="hybridMultilevel"/>
    <w:tmpl w:val="C82E1A4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7">
    <w:nsid w:val="7D462D78"/>
    <w:multiLevelType w:val="multilevel"/>
    <w:tmpl w:val="A700294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5"/>
  </w:num>
  <w:num w:numId="4">
    <w:abstractNumId w:val="31"/>
  </w:num>
  <w:num w:numId="5">
    <w:abstractNumId w:val="9"/>
  </w:num>
  <w:num w:numId="6">
    <w:abstractNumId w:val="5"/>
  </w:num>
  <w:num w:numId="7">
    <w:abstractNumId w:val="2"/>
  </w:num>
  <w:num w:numId="8">
    <w:abstractNumId w:val="15"/>
  </w:num>
  <w:num w:numId="9">
    <w:abstractNumId w:val="35"/>
  </w:num>
  <w:num w:numId="10">
    <w:abstractNumId w:val="17"/>
  </w:num>
  <w:num w:numId="11">
    <w:abstractNumId w:val="36"/>
  </w:num>
  <w:num w:numId="12">
    <w:abstractNumId w:val="28"/>
  </w:num>
  <w:num w:numId="13">
    <w:abstractNumId w:val="30"/>
  </w:num>
  <w:num w:numId="14">
    <w:abstractNumId w:val="24"/>
  </w:num>
  <w:num w:numId="15">
    <w:abstractNumId w:val="33"/>
  </w:num>
  <w:num w:numId="16">
    <w:abstractNumId w:val="10"/>
  </w:num>
  <w:num w:numId="17">
    <w:abstractNumId w:val="19"/>
  </w:num>
  <w:num w:numId="18">
    <w:abstractNumId w:val="13"/>
  </w:num>
  <w:num w:numId="19">
    <w:abstractNumId w:val="29"/>
  </w:num>
  <w:num w:numId="20">
    <w:abstractNumId w:val="21"/>
  </w:num>
  <w:num w:numId="21">
    <w:abstractNumId w:val="4"/>
  </w:num>
  <w:num w:numId="22">
    <w:abstractNumId w:val="26"/>
  </w:num>
  <w:num w:numId="23">
    <w:abstractNumId w:val="3"/>
  </w:num>
  <w:num w:numId="24">
    <w:abstractNumId w:val="32"/>
  </w:num>
  <w:num w:numId="25">
    <w:abstractNumId w:val="11"/>
  </w:num>
  <w:num w:numId="26">
    <w:abstractNumId w:val="6"/>
  </w:num>
  <w:num w:numId="27">
    <w:abstractNumId w:val="34"/>
  </w:num>
  <w:num w:numId="28">
    <w:abstractNumId w:val="23"/>
  </w:num>
  <w:num w:numId="29">
    <w:abstractNumId w:val="37"/>
  </w:num>
  <w:num w:numId="30">
    <w:abstractNumId w:val="1"/>
  </w:num>
  <w:num w:numId="31">
    <w:abstractNumId w:val="8"/>
  </w:num>
  <w:num w:numId="32">
    <w:abstractNumId w:val="0"/>
  </w:num>
  <w:num w:numId="33">
    <w:abstractNumId w:val="27"/>
  </w:num>
  <w:num w:numId="34">
    <w:abstractNumId w:val="20"/>
  </w:num>
  <w:num w:numId="35">
    <w:abstractNumId w:val="16"/>
  </w:num>
  <w:num w:numId="36">
    <w:abstractNumId w:val="18"/>
  </w:num>
  <w:num w:numId="37">
    <w:abstractNumId w:val="14"/>
  </w:num>
  <w:num w:numId="38">
    <w:abstractNumId w:val="22"/>
  </w:num>
  <w:num w:numId="3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B30"/>
    <w:rsid w:val="00011CCE"/>
    <w:rsid w:val="00196B30"/>
    <w:rsid w:val="003F394F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Web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paragraph" w:styleId="1">
    <w:name w:val="heading 1"/>
    <w:basedOn w:val="a"/>
    <w:next w:val="a"/>
    <w:link w:val="10"/>
    <w:uiPriority w:val="9"/>
    <w:qFormat/>
    <w:rsid w:val="00196B30"/>
    <w:pPr>
      <w:keepNext/>
      <w:ind w:firstLine="0"/>
      <w:jc w:val="center"/>
      <w:outlineLvl w:val="0"/>
    </w:pPr>
    <w:rPr>
      <w:rFonts w:ascii="Courier New" w:eastAsia="Times New Roman" w:hAnsi="Courier New"/>
      <w:b/>
      <w:szCs w:val="20"/>
      <w:lang w:eastAsia="zh-CN"/>
    </w:rPr>
  </w:style>
  <w:style w:type="paragraph" w:styleId="2">
    <w:name w:val="heading 2"/>
    <w:basedOn w:val="a"/>
    <w:next w:val="a"/>
    <w:link w:val="20"/>
    <w:uiPriority w:val="9"/>
    <w:qFormat/>
    <w:rsid w:val="00196B30"/>
    <w:pPr>
      <w:keepNext/>
      <w:ind w:firstLine="851"/>
      <w:jc w:val="center"/>
      <w:outlineLvl w:val="1"/>
    </w:pPr>
    <w:rPr>
      <w:rFonts w:eastAsia="Times New Roman"/>
      <w:szCs w:val="20"/>
      <w:lang w:eastAsia="zh-CN"/>
    </w:rPr>
  </w:style>
  <w:style w:type="paragraph" w:styleId="3">
    <w:name w:val="heading 3"/>
    <w:basedOn w:val="a"/>
    <w:next w:val="a"/>
    <w:link w:val="30"/>
    <w:uiPriority w:val="9"/>
    <w:qFormat/>
    <w:rsid w:val="00196B30"/>
    <w:pPr>
      <w:keepNext/>
      <w:ind w:firstLine="851"/>
      <w:outlineLvl w:val="2"/>
    </w:pPr>
    <w:rPr>
      <w:rFonts w:eastAsia="Times New Roman"/>
      <w:szCs w:val="20"/>
      <w:lang w:eastAsia="zh-CN"/>
    </w:rPr>
  </w:style>
  <w:style w:type="paragraph" w:styleId="4">
    <w:name w:val="heading 4"/>
    <w:basedOn w:val="a"/>
    <w:next w:val="a"/>
    <w:link w:val="40"/>
    <w:uiPriority w:val="9"/>
    <w:qFormat/>
    <w:rsid w:val="00196B30"/>
    <w:pPr>
      <w:keepNext/>
      <w:spacing w:before="240" w:after="60"/>
      <w:ind w:firstLine="0"/>
      <w:jc w:val="left"/>
      <w:outlineLvl w:val="3"/>
    </w:pPr>
    <w:rPr>
      <w:rFonts w:eastAsia="Times New Roman"/>
      <w:b/>
      <w:bCs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196B30"/>
    <w:pPr>
      <w:keepNext/>
      <w:ind w:left="72" w:firstLine="0"/>
      <w:jc w:val="center"/>
      <w:outlineLvl w:val="4"/>
    </w:pPr>
    <w:rPr>
      <w:rFonts w:eastAsia="Times New Roman"/>
      <w:szCs w:val="20"/>
      <w:lang w:eastAsia="zh-CN"/>
    </w:rPr>
  </w:style>
  <w:style w:type="paragraph" w:styleId="6">
    <w:name w:val="heading 6"/>
    <w:basedOn w:val="a"/>
    <w:next w:val="a"/>
    <w:link w:val="60"/>
    <w:qFormat/>
    <w:rsid w:val="00196B30"/>
    <w:pPr>
      <w:keepNext/>
      <w:ind w:firstLine="0"/>
      <w:jc w:val="center"/>
      <w:outlineLvl w:val="5"/>
    </w:pPr>
    <w:rPr>
      <w:rFonts w:eastAsia="Times New Roman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6B30"/>
    <w:rPr>
      <w:rFonts w:ascii="Courier New" w:eastAsia="Times New Roman" w:hAnsi="Courier New"/>
      <w:b/>
      <w:szCs w:val="20"/>
      <w:lang w:eastAsia="zh-CN"/>
    </w:rPr>
  </w:style>
  <w:style w:type="character" w:customStyle="1" w:styleId="20">
    <w:name w:val="Заголовок 2 Знак"/>
    <w:basedOn w:val="a0"/>
    <w:link w:val="2"/>
    <w:uiPriority w:val="9"/>
    <w:rsid w:val="00196B30"/>
    <w:rPr>
      <w:rFonts w:eastAsia="Times New Roman"/>
      <w:szCs w:val="20"/>
      <w:lang w:eastAsia="zh-CN"/>
    </w:rPr>
  </w:style>
  <w:style w:type="character" w:customStyle="1" w:styleId="30">
    <w:name w:val="Заголовок 3 Знак"/>
    <w:basedOn w:val="a0"/>
    <w:link w:val="3"/>
    <w:uiPriority w:val="9"/>
    <w:rsid w:val="00196B30"/>
    <w:rPr>
      <w:rFonts w:eastAsia="Times New Roman"/>
      <w:szCs w:val="20"/>
      <w:lang w:eastAsia="zh-CN"/>
    </w:rPr>
  </w:style>
  <w:style w:type="character" w:customStyle="1" w:styleId="40">
    <w:name w:val="Заголовок 4 Знак"/>
    <w:basedOn w:val="a0"/>
    <w:link w:val="4"/>
    <w:uiPriority w:val="9"/>
    <w:rsid w:val="00196B30"/>
    <w:rPr>
      <w:rFonts w:eastAsia="Times New Roman"/>
      <w:b/>
      <w:bCs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196B30"/>
    <w:rPr>
      <w:rFonts w:eastAsia="Times New Roman"/>
      <w:szCs w:val="20"/>
      <w:lang w:eastAsia="zh-CN"/>
    </w:rPr>
  </w:style>
  <w:style w:type="character" w:customStyle="1" w:styleId="60">
    <w:name w:val="Заголовок 6 Знак"/>
    <w:basedOn w:val="a0"/>
    <w:link w:val="6"/>
    <w:rsid w:val="00196B30"/>
    <w:rPr>
      <w:rFonts w:eastAsia="Times New Roman"/>
      <w:szCs w:val="20"/>
      <w:lang w:eastAsia="zh-CN"/>
    </w:rPr>
  </w:style>
  <w:style w:type="numbering" w:customStyle="1" w:styleId="11">
    <w:name w:val="Нет списка1"/>
    <w:next w:val="a2"/>
    <w:uiPriority w:val="99"/>
    <w:semiHidden/>
    <w:unhideWhenUsed/>
    <w:rsid w:val="00196B30"/>
  </w:style>
  <w:style w:type="paragraph" w:customStyle="1" w:styleId="Oaeno">
    <w:name w:val="Oaeno"/>
    <w:basedOn w:val="a"/>
    <w:rsid w:val="00196B30"/>
    <w:pPr>
      <w:ind w:firstLine="0"/>
      <w:jc w:val="left"/>
    </w:pPr>
    <w:rPr>
      <w:rFonts w:ascii="Courier New" w:eastAsia="Times New Roman" w:hAnsi="Courier New"/>
      <w:sz w:val="20"/>
      <w:szCs w:val="20"/>
      <w:lang w:eastAsia="ru-RU"/>
    </w:rPr>
  </w:style>
  <w:style w:type="paragraph" w:styleId="a3">
    <w:name w:val="Body Text Indent"/>
    <w:basedOn w:val="a"/>
    <w:link w:val="a4"/>
    <w:rsid w:val="00196B30"/>
    <w:pPr>
      <w:ind w:firstLine="851"/>
    </w:pPr>
    <w:rPr>
      <w:rFonts w:eastAsia="Times New Roman"/>
      <w:szCs w:val="20"/>
      <w:lang w:eastAsia="zh-CN"/>
    </w:rPr>
  </w:style>
  <w:style w:type="character" w:customStyle="1" w:styleId="a4">
    <w:name w:val="Основной текст с отступом Знак"/>
    <w:basedOn w:val="a0"/>
    <w:link w:val="a3"/>
    <w:rsid w:val="00196B30"/>
    <w:rPr>
      <w:rFonts w:eastAsia="Times New Roman"/>
      <w:szCs w:val="20"/>
      <w:lang w:eastAsia="zh-CN"/>
    </w:rPr>
  </w:style>
  <w:style w:type="table" w:styleId="a5">
    <w:name w:val="Table Grid"/>
    <w:basedOn w:val="a1"/>
    <w:uiPriority w:val="59"/>
    <w:rsid w:val="00196B30"/>
    <w:pPr>
      <w:ind w:firstLine="0"/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a7"/>
    <w:semiHidden/>
    <w:rsid w:val="00196B30"/>
    <w:pPr>
      <w:ind w:firstLine="0"/>
      <w:jc w:val="left"/>
    </w:pPr>
    <w:rPr>
      <w:rFonts w:eastAsia="Times New Roman"/>
      <w:sz w:val="20"/>
      <w:szCs w:val="20"/>
      <w:lang w:eastAsia="zh-CN"/>
    </w:rPr>
  </w:style>
  <w:style w:type="character" w:customStyle="1" w:styleId="a7">
    <w:name w:val="Текст сноски Знак"/>
    <w:basedOn w:val="a0"/>
    <w:link w:val="a6"/>
    <w:semiHidden/>
    <w:rsid w:val="00196B30"/>
    <w:rPr>
      <w:rFonts w:eastAsia="Times New Roman"/>
      <w:sz w:val="20"/>
      <w:szCs w:val="20"/>
      <w:lang w:eastAsia="zh-CN"/>
    </w:rPr>
  </w:style>
  <w:style w:type="character" w:styleId="a8">
    <w:name w:val="footnote reference"/>
    <w:basedOn w:val="a0"/>
    <w:semiHidden/>
    <w:rsid w:val="00196B30"/>
    <w:rPr>
      <w:vertAlign w:val="superscript"/>
    </w:rPr>
  </w:style>
  <w:style w:type="paragraph" w:customStyle="1" w:styleId="Iauiue">
    <w:name w:val="Iau?iue"/>
    <w:rsid w:val="00196B30"/>
    <w:pPr>
      <w:overflowPunct w:val="0"/>
      <w:autoSpaceDE w:val="0"/>
      <w:autoSpaceDN w:val="0"/>
      <w:adjustRightInd w:val="0"/>
      <w:ind w:firstLine="0"/>
      <w:jc w:val="left"/>
      <w:textAlignment w:val="baseline"/>
    </w:pPr>
    <w:rPr>
      <w:rFonts w:eastAsia="Times New Roman"/>
      <w:sz w:val="20"/>
      <w:szCs w:val="20"/>
      <w:lang w:eastAsia="ru-RU"/>
    </w:rPr>
  </w:style>
  <w:style w:type="paragraph" w:customStyle="1" w:styleId="Iniiaiieoaeno">
    <w:name w:val="Iniiaiie oaeno"/>
    <w:basedOn w:val="Iauiue"/>
    <w:rsid w:val="00196B30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96B30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96B30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96B30"/>
    <w:pPr>
      <w:ind w:left="360"/>
      <w:jc w:val="center"/>
    </w:pPr>
    <w:rPr>
      <w:b/>
      <w:sz w:val="28"/>
    </w:rPr>
  </w:style>
  <w:style w:type="paragraph" w:styleId="a9">
    <w:name w:val="Body Text"/>
    <w:basedOn w:val="a"/>
    <w:link w:val="aa"/>
    <w:rsid w:val="00196B30"/>
    <w:pPr>
      <w:ind w:firstLine="0"/>
      <w:jc w:val="center"/>
    </w:pPr>
    <w:rPr>
      <w:rFonts w:ascii="Courier New" w:eastAsia="Times New Roman" w:hAnsi="Courier New"/>
      <w:szCs w:val="20"/>
      <w:lang w:eastAsia="zh-CN"/>
    </w:rPr>
  </w:style>
  <w:style w:type="character" w:customStyle="1" w:styleId="aa">
    <w:name w:val="Основной текст Знак"/>
    <w:basedOn w:val="a0"/>
    <w:link w:val="a9"/>
    <w:rsid w:val="00196B30"/>
    <w:rPr>
      <w:rFonts w:ascii="Courier New" w:eastAsia="Times New Roman" w:hAnsi="Courier New"/>
      <w:szCs w:val="20"/>
      <w:lang w:eastAsia="zh-CN"/>
    </w:rPr>
  </w:style>
  <w:style w:type="paragraph" w:styleId="21">
    <w:name w:val="Body Text Indent 2"/>
    <w:basedOn w:val="a"/>
    <w:link w:val="22"/>
    <w:rsid w:val="00196B30"/>
    <w:pPr>
      <w:ind w:firstLine="851"/>
      <w:jc w:val="left"/>
    </w:pPr>
    <w:rPr>
      <w:rFonts w:eastAsia="Times New Roman"/>
      <w:szCs w:val="20"/>
      <w:lang w:eastAsia="zh-CN"/>
    </w:rPr>
  </w:style>
  <w:style w:type="character" w:customStyle="1" w:styleId="22">
    <w:name w:val="Основной текст с отступом 2 Знак"/>
    <w:basedOn w:val="a0"/>
    <w:link w:val="21"/>
    <w:rsid w:val="00196B30"/>
    <w:rPr>
      <w:rFonts w:eastAsia="Times New Roman"/>
      <w:szCs w:val="20"/>
      <w:lang w:eastAsia="zh-CN"/>
    </w:rPr>
  </w:style>
  <w:style w:type="paragraph" w:styleId="ab">
    <w:name w:val="header"/>
    <w:basedOn w:val="a"/>
    <w:link w:val="ac"/>
    <w:uiPriority w:val="99"/>
    <w:rsid w:val="00196B30"/>
    <w:pPr>
      <w:tabs>
        <w:tab w:val="center" w:pos="4153"/>
        <w:tab w:val="right" w:pos="8306"/>
      </w:tabs>
      <w:ind w:firstLine="0"/>
      <w:jc w:val="left"/>
    </w:pPr>
    <w:rPr>
      <w:rFonts w:eastAsia="Times New Roman"/>
      <w:sz w:val="20"/>
      <w:szCs w:val="20"/>
      <w:lang w:eastAsia="zh-CN"/>
    </w:rPr>
  </w:style>
  <w:style w:type="character" w:customStyle="1" w:styleId="ac">
    <w:name w:val="Верхний колонтитул Знак"/>
    <w:basedOn w:val="a0"/>
    <w:link w:val="ab"/>
    <w:uiPriority w:val="99"/>
    <w:rsid w:val="00196B30"/>
    <w:rPr>
      <w:rFonts w:eastAsia="Times New Roman"/>
      <w:sz w:val="20"/>
      <w:szCs w:val="20"/>
      <w:lang w:eastAsia="zh-CN"/>
    </w:rPr>
  </w:style>
  <w:style w:type="character" w:styleId="ad">
    <w:name w:val="page number"/>
    <w:basedOn w:val="a0"/>
    <w:rsid w:val="00196B30"/>
  </w:style>
  <w:style w:type="paragraph" w:styleId="ae">
    <w:name w:val="footer"/>
    <w:basedOn w:val="a"/>
    <w:link w:val="af"/>
    <w:rsid w:val="00196B30"/>
    <w:pPr>
      <w:tabs>
        <w:tab w:val="center" w:pos="4677"/>
        <w:tab w:val="right" w:pos="9355"/>
      </w:tabs>
      <w:ind w:firstLine="0"/>
      <w:jc w:val="left"/>
    </w:pPr>
    <w:rPr>
      <w:rFonts w:eastAsia="Times New Roman"/>
      <w:sz w:val="20"/>
      <w:szCs w:val="20"/>
      <w:lang w:eastAsia="zh-CN"/>
    </w:rPr>
  </w:style>
  <w:style w:type="character" w:customStyle="1" w:styleId="af">
    <w:name w:val="Нижний колонтитул Знак"/>
    <w:basedOn w:val="a0"/>
    <w:link w:val="ae"/>
    <w:rsid w:val="00196B30"/>
    <w:rPr>
      <w:rFonts w:eastAsia="Times New Roman"/>
      <w:sz w:val="20"/>
      <w:szCs w:val="20"/>
      <w:lang w:eastAsia="zh-CN"/>
    </w:rPr>
  </w:style>
  <w:style w:type="paragraph" w:styleId="af0">
    <w:name w:val="Normal (Web)"/>
    <w:basedOn w:val="a"/>
    <w:uiPriority w:val="99"/>
    <w:rsid w:val="00196B30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styleId="af1">
    <w:name w:val="Strong"/>
    <w:basedOn w:val="a0"/>
    <w:uiPriority w:val="22"/>
    <w:qFormat/>
    <w:rsid w:val="00196B30"/>
    <w:rPr>
      <w:b/>
      <w:bCs/>
    </w:rPr>
  </w:style>
  <w:style w:type="paragraph" w:styleId="af2">
    <w:name w:val="List"/>
    <w:basedOn w:val="a"/>
    <w:rsid w:val="00196B30"/>
    <w:pPr>
      <w:ind w:left="283" w:hanging="283"/>
      <w:jc w:val="left"/>
    </w:pPr>
    <w:rPr>
      <w:rFonts w:eastAsia="Times New Roman"/>
      <w:sz w:val="20"/>
      <w:szCs w:val="20"/>
      <w:lang w:eastAsia="ru-RU"/>
    </w:rPr>
  </w:style>
  <w:style w:type="paragraph" w:styleId="23">
    <w:name w:val="List 2"/>
    <w:basedOn w:val="a"/>
    <w:rsid w:val="00196B30"/>
    <w:pPr>
      <w:ind w:left="566" w:hanging="283"/>
      <w:jc w:val="left"/>
    </w:pPr>
    <w:rPr>
      <w:rFonts w:eastAsia="Times New Roman"/>
      <w:sz w:val="20"/>
      <w:szCs w:val="20"/>
      <w:lang w:eastAsia="ru-RU"/>
    </w:rPr>
  </w:style>
  <w:style w:type="paragraph" w:styleId="af3">
    <w:name w:val="Title"/>
    <w:basedOn w:val="a"/>
    <w:link w:val="af4"/>
    <w:uiPriority w:val="10"/>
    <w:qFormat/>
    <w:rsid w:val="00196B30"/>
    <w:pPr>
      <w:ind w:firstLine="0"/>
      <w:jc w:val="center"/>
    </w:pPr>
    <w:rPr>
      <w:rFonts w:eastAsia="Times New Roman"/>
      <w:szCs w:val="20"/>
      <w:lang w:eastAsia="ru-RU"/>
    </w:rPr>
  </w:style>
  <w:style w:type="character" w:customStyle="1" w:styleId="af4">
    <w:name w:val="Название Знак"/>
    <w:basedOn w:val="a0"/>
    <w:link w:val="af3"/>
    <w:uiPriority w:val="10"/>
    <w:rsid w:val="00196B30"/>
    <w:rPr>
      <w:rFonts w:eastAsia="Times New Roman"/>
      <w:szCs w:val="20"/>
      <w:lang w:eastAsia="ru-RU"/>
    </w:rPr>
  </w:style>
  <w:style w:type="character" w:styleId="af5">
    <w:name w:val="Hyperlink"/>
    <w:basedOn w:val="a0"/>
    <w:uiPriority w:val="99"/>
    <w:unhideWhenUsed/>
    <w:rsid w:val="00196B30"/>
    <w:rPr>
      <w:color w:val="0000FF"/>
      <w:u w:val="single"/>
    </w:rPr>
  </w:style>
  <w:style w:type="table" w:styleId="-1">
    <w:name w:val="Table Web 1"/>
    <w:basedOn w:val="a1"/>
    <w:rsid w:val="00196B30"/>
    <w:pPr>
      <w:ind w:firstLine="0"/>
      <w:jc w:val="left"/>
    </w:pPr>
    <w:rPr>
      <w:rFonts w:eastAsia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196B30"/>
    <w:pPr>
      <w:ind w:firstLine="0"/>
      <w:jc w:val="left"/>
    </w:pPr>
    <w:rPr>
      <w:rFonts w:eastAsia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0"/>
    <w:rsid w:val="00196B30"/>
  </w:style>
  <w:style w:type="paragraph" w:styleId="af6">
    <w:name w:val="Balloon Text"/>
    <w:basedOn w:val="a"/>
    <w:link w:val="af7"/>
    <w:uiPriority w:val="99"/>
    <w:rsid w:val="00196B30"/>
    <w:pPr>
      <w:ind w:firstLine="0"/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0"/>
    <w:link w:val="af6"/>
    <w:uiPriority w:val="99"/>
    <w:rsid w:val="00196B30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Placeholder Text"/>
    <w:basedOn w:val="a0"/>
    <w:uiPriority w:val="99"/>
    <w:semiHidden/>
    <w:rsid w:val="00196B30"/>
    <w:rPr>
      <w:color w:val="808080"/>
    </w:rPr>
  </w:style>
  <w:style w:type="character" w:styleId="HTML">
    <w:name w:val="HTML Cite"/>
    <w:basedOn w:val="a0"/>
    <w:uiPriority w:val="99"/>
    <w:unhideWhenUsed/>
    <w:rsid w:val="00196B30"/>
    <w:rPr>
      <w:i/>
      <w:iCs/>
    </w:rPr>
  </w:style>
  <w:style w:type="character" w:customStyle="1" w:styleId="apple-style-span">
    <w:name w:val="apple-style-span"/>
    <w:basedOn w:val="a0"/>
    <w:rsid w:val="00196B30"/>
  </w:style>
  <w:style w:type="character" w:customStyle="1" w:styleId="w">
    <w:name w:val="w"/>
    <w:basedOn w:val="a0"/>
    <w:rsid w:val="00196B30"/>
  </w:style>
  <w:style w:type="paragraph" w:styleId="af9">
    <w:name w:val="List Paragraph"/>
    <w:basedOn w:val="a"/>
    <w:uiPriority w:val="34"/>
    <w:qFormat/>
    <w:rsid w:val="00196B30"/>
    <w:pPr>
      <w:ind w:left="720" w:firstLine="0"/>
      <w:contextualSpacing/>
      <w:jc w:val="left"/>
    </w:pPr>
    <w:rPr>
      <w:rFonts w:eastAsia="Times New Roman"/>
      <w:sz w:val="24"/>
      <w:szCs w:val="24"/>
      <w:lang w:eastAsia="ru-RU"/>
    </w:rPr>
  </w:style>
  <w:style w:type="character" w:customStyle="1" w:styleId="nowrap">
    <w:name w:val="nowrap"/>
    <w:basedOn w:val="a0"/>
    <w:rsid w:val="00196B30"/>
  </w:style>
  <w:style w:type="character" w:customStyle="1" w:styleId="s1">
    <w:name w:val="s1"/>
    <w:basedOn w:val="a0"/>
    <w:rsid w:val="00196B30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0"/>
    <w:rsid w:val="00196B3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"/>
    <w:rsid w:val="00196B30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styleId="afa">
    <w:name w:val="Emphasis"/>
    <w:basedOn w:val="a0"/>
    <w:uiPriority w:val="20"/>
    <w:qFormat/>
    <w:rsid w:val="00196B30"/>
    <w:rPr>
      <w:i/>
      <w:iCs/>
    </w:rPr>
  </w:style>
  <w:style w:type="paragraph" w:customStyle="1" w:styleId="rtejustify">
    <w:name w:val="rtejustify"/>
    <w:basedOn w:val="a"/>
    <w:rsid w:val="00196B30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196B30"/>
  </w:style>
  <w:style w:type="character" w:customStyle="1" w:styleId="afb">
    <w:name w:val="Подзаголовок Знак"/>
    <w:basedOn w:val="a0"/>
    <w:link w:val="afc"/>
    <w:uiPriority w:val="11"/>
    <w:rsid w:val="00196B30"/>
    <w:rPr>
      <w:rFonts w:ascii="Consolas" w:eastAsia="Consolas" w:hAnsi="Consolas" w:cs="Consolas"/>
      <w:sz w:val="22"/>
      <w:lang w:val="en-US"/>
    </w:rPr>
  </w:style>
  <w:style w:type="paragraph" w:styleId="afc">
    <w:name w:val="Subtitle"/>
    <w:basedOn w:val="a"/>
    <w:next w:val="a"/>
    <w:link w:val="afb"/>
    <w:uiPriority w:val="11"/>
    <w:qFormat/>
    <w:rsid w:val="00196B30"/>
    <w:pPr>
      <w:numPr>
        <w:ilvl w:val="1"/>
      </w:numPr>
      <w:spacing w:after="200" w:line="276" w:lineRule="auto"/>
      <w:ind w:left="86"/>
      <w:jc w:val="left"/>
    </w:pPr>
    <w:rPr>
      <w:rFonts w:ascii="Consolas" w:eastAsia="Consolas" w:hAnsi="Consolas" w:cs="Consolas"/>
      <w:sz w:val="22"/>
      <w:lang w:val="en-US"/>
    </w:rPr>
  </w:style>
  <w:style w:type="character" w:customStyle="1" w:styleId="12">
    <w:name w:val="Подзаголовок Знак1"/>
    <w:basedOn w:val="a0"/>
    <w:link w:val="afc"/>
    <w:uiPriority w:val="11"/>
    <w:rsid w:val="00196B3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d">
    <w:name w:val="Normal Indent"/>
    <w:basedOn w:val="a"/>
    <w:uiPriority w:val="99"/>
    <w:unhideWhenUsed/>
    <w:rsid w:val="00196B30"/>
    <w:pPr>
      <w:spacing w:after="200" w:line="276" w:lineRule="auto"/>
      <w:ind w:left="720" w:firstLine="0"/>
      <w:jc w:val="left"/>
    </w:pPr>
    <w:rPr>
      <w:rFonts w:ascii="Consolas" w:eastAsia="Consolas" w:hAnsi="Consolas" w:cs="Consolas"/>
      <w:sz w:val="22"/>
      <w:lang w:val="en-US"/>
    </w:rPr>
  </w:style>
  <w:style w:type="paragraph" w:styleId="afe">
    <w:name w:val="caption"/>
    <w:basedOn w:val="a"/>
    <w:next w:val="a"/>
    <w:uiPriority w:val="35"/>
    <w:semiHidden/>
    <w:unhideWhenUsed/>
    <w:qFormat/>
    <w:rsid w:val="00196B30"/>
    <w:pPr>
      <w:spacing w:after="200"/>
      <w:ind w:firstLine="0"/>
      <w:jc w:val="left"/>
    </w:pPr>
    <w:rPr>
      <w:rFonts w:ascii="Consolas" w:eastAsia="Consolas" w:hAnsi="Consolas" w:cs="Consolas"/>
      <w:sz w:val="22"/>
      <w:lang w:val="en-US"/>
    </w:rPr>
  </w:style>
  <w:style w:type="paragraph" w:customStyle="1" w:styleId="disclaimer">
    <w:name w:val="disclaimer"/>
    <w:basedOn w:val="a"/>
    <w:rsid w:val="00196B30"/>
    <w:pPr>
      <w:spacing w:after="200" w:line="276" w:lineRule="auto"/>
      <w:ind w:firstLine="0"/>
      <w:jc w:val="center"/>
    </w:pPr>
    <w:rPr>
      <w:rFonts w:ascii="Consolas" w:eastAsia="Consolas" w:hAnsi="Consolas" w:cs="Consolas"/>
      <w:sz w:val="18"/>
      <w:szCs w:val="18"/>
      <w:lang w:val="en-US"/>
    </w:rPr>
  </w:style>
  <w:style w:type="paragraph" w:customStyle="1" w:styleId="DocDefaults">
    <w:name w:val="DocDefaults"/>
    <w:rsid w:val="00196B30"/>
    <w:pPr>
      <w:spacing w:after="200" w:line="276" w:lineRule="auto"/>
      <w:ind w:firstLine="0"/>
      <w:jc w:val="left"/>
    </w:pPr>
    <w:rPr>
      <w:rFonts w:asciiTheme="minorHAnsi" w:hAnsiTheme="minorHAnsi" w:cstheme="minorBidi"/>
      <w:sz w:val="22"/>
      <w:lang w:val="en-US"/>
    </w:rPr>
  </w:style>
  <w:style w:type="paragraph" w:customStyle="1" w:styleId="Default">
    <w:name w:val="Default"/>
    <w:rsid w:val="00196B30"/>
    <w:pPr>
      <w:autoSpaceDE w:val="0"/>
      <w:autoSpaceDN w:val="0"/>
      <w:adjustRightInd w:val="0"/>
      <w:ind w:firstLine="0"/>
      <w:jc w:val="left"/>
    </w:pPr>
    <w:rPr>
      <w:rFonts w:eastAsiaTheme="minorEastAsia"/>
      <w:color w:val="000000"/>
      <w:sz w:val="24"/>
      <w:szCs w:val="24"/>
      <w:lang w:eastAsia="ru-RU"/>
    </w:rPr>
  </w:style>
  <w:style w:type="paragraph" w:styleId="aff">
    <w:name w:val="No Spacing"/>
    <w:uiPriority w:val="1"/>
    <w:qFormat/>
    <w:rsid w:val="00196B30"/>
    <w:pPr>
      <w:ind w:firstLine="0"/>
      <w:jc w:val="left"/>
    </w:pPr>
    <w:rPr>
      <w:rFonts w:ascii="Calibri" w:eastAsia="Times New Roman" w:hAnsi="Calibri"/>
      <w:sz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1851</Words>
  <Characters>10554</Characters>
  <Application>Microsoft Office Word</Application>
  <DocSecurity>0</DocSecurity>
  <Lines>87</Lines>
  <Paragraphs>24</Paragraphs>
  <ScaleCrop>false</ScaleCrop>
  <Company>HOME</Company>
  <LinksUpToDate>false</LinksUpToDate>
  <CharactersWithSpaces>12381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2019-02-04T08:47:00Z</dcterms:created>
  <dcterms:modified xsi:type="dcterms:W3CDTF">2019-02-04T08:48:00Z</dcterms:modified>
</cp:coreProperties>
</file>